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1E87" w14:textId="36D91A75" w:rsidR="00D335B4" w:rsidRPr="00A92CED" w:rsidRDefault="00244592" w:rsidP="00D335B4">
      <w:pPr>
        <w:spacing w:after="0" w:line="240" w:lineRule="auto"/>
        <w:jc w:val="center"/>
        <w:rPr>
          <w:rFonts w:ascii="Arial" w:hAnsi="Arial" w:cs="Arial"/>
          <w:b/>
          <w:i/>
          <w:sz w:val="28"/>
          <w:szCs w:val="28"/>
          <w:lang w:val="fr-CA"/>
        </w:rPr>
      </w:pPr>
      <w:r w:rsidRPr="00A92CED">
        <w:rPr>
          <w:rFonts w:ascii="Arial" w:hAnsi="Arial" w:cs="Arial"/>
          <w:b/>
          <w:sz w:val="28"/>
          <w:szCs w:val="28"/>
          <w:lang w:val="fr-CA"/>
        </w:rPr>
        <w:t>Document de consultation</w:t>
      </w:r>
      <w:r w:rsidR="00A80FFB" w:rsidRPr="00A92CED">
        <w:rPr>
          <w:rFonts w:ascii="Arial" w:hAnsi="Arial" w:cs="Arial"/>
          <w:b/>
          <w:sz w:val="28"/>
          <w:szCs w:val="28"/>
          <w:lang w:val="fr-CA"/>
        </w:rPr>
        <w:t xml:space="preserve"> </w:t>
      </w:r>
      <w:r w:rsidR="00AF4BF1" w:rsidRPr="00A92CED">
        <w:rPr>
          <w:rFonts w:ascii="Arial" w:hAnsi="Arial" w:cs="Arial"/>
          <w:b/>
          <w:sz w:val="28"/>
          <w:szCs w:val="28"/>
          <w:lang w:val="fr-CA"/>
        </w:rPr>
        <w:t xml:space="preserve">– Modifications proposées du </w:t>
      </w:r>
      <w:r w:rsidR="00AF4BF1" w:rsidRPr="00A92CED">
        <w:rPr>
          <w:rFonts w:ascii="Arial" w:hAnsi="Arial" w:cs="Arial"/>
          <w:b/>
          <w:i/>
          <w:iCs/>
          <w:sz w:val="28"/>
          <w:szCs w:val="28"/>
          <w:lang w:val="fr-CA"/>
        </w:rPr>
        <w:t>Règlement de 2013 sur les explosifs</w:t>
      </w:r>
      <w:r w:rsidR="00D335B4" w:rsidRPr="00A92CED">
        <w:rPr>
          <w:rFonts w:ascii="Arial" w:hAnsi="Arial" w:cs="Arial"/>
          <w:b/>
          <w:i/>
          <w:sz w:val="28"/>
          <w:szCs w:val="28"/>
          <w:lang w:val="fr-CA"/>
        </w:rPr>
        <w:t xml:space="preserve"> </w:t>
      </w:r>
    </w:p>
    <w:p w14:paraId="1EFA2FF3" w14:textId="77777777" w:rsidR="00CC5AB5" w:rsidRPr="00A92CED" w:rsidRDefault="00CC5AB5" w:rsidP="00D335B4">
      <w:pPr>
        <w:spacing w:after="0" w:line="240" w:lineRule="auto"/>
        <w:rPr>
          <w:lang w:val="fr-CA"/>
        </w:rPr>
      </w:pPr>
    </w:p>
    <w:tbl>
      <w:tblPr>
        <w:tblStyle w:val="TableGrid"/>
        <w:tblW w:w="17147" w:type="dxa"/>
        <w:tblLook w:val="04A0" w:firstRow="1" w:lastRow="0" w:firstColumn="1" w:lastColumn="0" w:noHBand="0" w:noVBand="1"/>
      </w:tblPr>
      <w:tblGrid>
        <w:gridCol w:w="3126"/>
        <w:gridCol w:w="3715"/>
        <w:gridCol w:w="4076"/>
        <w:gridCol w:w="21"/>
        <w:gridCol w:w="3122"/>
        <w:gridCol w:w="3087"/>
      </w:tblGrid>
      <w:tr w:rsidR="00A92CED" w:rsidRPr="00A92CED" w14:paraId="53C69AD5" w14:textId="41231B7C" w:rsidTr="00E10233">
        <w:trPr>
          <w:tblHeader/>
        </w:trPr>
        <w:tc>
          <w:tcPr>
            <w:tcW w:w="3126" w:type="dxa"/>
            <w:shd w:val="clear" w:color="auto" w:fill="BFBFBF" w:themeFill="background1" w:themeFillShade="BF"/>
          </w:tcPr>
          <w:p w14:paraId="7F0E3013" w14:textId="631E1F1E" w:rsidR="00FA05FB" w:rsidRPr="00A92CED" w:rsidRDefault="00FA05FB" w:rsidP="00D335B4">
            <w:pPr>
              <w:spacing w:before="60" w:after="60"/>
              <w:jc w:val="center"/>
              <w:rPr>
                <w:rFonts w:ascii="Arial" w:hAnsi="Arial" w:cs="Arial"/>
                <w:b/>
                <w:sz w:val="26"/>
                <w:szCs w:val="26"/>
                <w:lang w:val="fr-CA"/>
              </w:rPr>
            </w:pPr>
            <w:r w:rsidRPr="00A92CED">
              <w:rPr>
                <w:rFonts w:ascii="Arial" w:hAnsi="Arial" w:cs="Arial"/>
                <w:b/>
                <w:sz w:val="26"/>
                <w:szCs w:val="26"/>
                <w:lang w:val="fr-CA"/>
              </w:rPr>
              <w:t>N</w:t>
            </w:r>
            <w:r w:rsidRPr="00A92CED">
              <w:rPr>
                <w:rFonts w:ascii="Arial" w:hAnsi="Arial" w:cs="Arial"/>
                <w:b/>
                <w:sz w:val="26"/>
                <w:szCs w:val="26"/>
                <w:vertAlign w:val="superscript"/>
                <w:lang w:val="fr-CA"/>
              </w:rPr>
              <w:t>o</w:t>
            </w:r>
          </w:p>
        </w:tc>
        <w:tc>
          <w:tcPr>
            <w:tcW w:w="3715" w:type="dxa"/>
            <w:shd w:val="clear" w:color="auto" w:fill="BFBFBF" w:themeFill="background1" w:themeFillShade="BF"/>
          </w:tcPr>
          <w:p w14:paraId="5E574EF3" w14:textId="40E8B4C2" w:rsidR="00FA05FB" w:rsidRPr="00A92CED" w:rsidRDefault="00FA05FB" w:rsidP="00D335B4">
            <w:pPr>
              <w:spacing w:before="60" w:after="60"/>
              <w:jc w:val="center"/>
              <w:rPr>
                <w:rFonts w:ascii="Arial" w:hAnsi="Arial" w:cs="Arial"/>
                <w:b/>
                <w:sz w:val="26"/>
                <w:szCs w:val="26"/>
                <w:lang w:val="fr-CA"/>
              </w:rPr>
            </w:pPr>
            <w:r w:rsidRPr="00A92CED">
              <w:rPr>
                <w:rFonts w:ascii="Arial" w:hAnsi="Arial" w:cs="Arial"/>
                <w:b/>
                <w:sz w:val="26"/>
                <w:szCs w:val="26"/>
                <w:lang w:val="fr-CA"/>
              </w:rPr>
              <w:t>Disposition actuelle</w:t>
            </w:r>
          </w:p>
        </w:tc>
        <w:tc>
          <w:tcPr>
            <w:tcW w:w="4076" w:type="dxa"/>
            <w:shd w:val="clear" w:color="auto" w:fill="BFBFBF" w:themeFill="background1" w:themeFillShade="BF"/>
          </w:tcPr>
          <w:p w14:paraId="567C9878" w14:textId="769479DE" w:rsidR="00FA05FB" w:rsidRPr="00A92CED" w:rsidRDefault="00FA05FB" w:rsidP="00D335B4">
            <w:pPr>
              <w:spacing w:before="60" w:after="60"/>
              <w:jc w:val="center"/>
              <w:rPr>
                <w:rFonts w:ascii="Arial" w:hAnsi="Arial" w:cs="Arial"/>
                <w:b/>
                <w:sz w:val="26"/>
                <w:szCs w:val="26"/>
                <w:lang w:val="fr-CA"/>
              </w:rPr>
            </w:pPr>
            <w:r w:rsidRPr="00A92CED">
              <w:rPr>
                <w:rFonts w:ascii="Arial" w:hAnsi="Arial" w:cs="Arial"/>
                <w:b/>
                <w:sz w:val="26"/>
                <w:szCs w:val="26"/>
                <w:lang w:val="fr-CA"/>
              </w:rPr>
              <w:t>Modifications proposées</w:t>
            </w:r>
          </w:p>
        </w:tc>
        <w:tc>
          <w:tcPr>
            <w:tcW w:w="3143" w:type="dxa"/>
            <w:gridSpan w:val="2"/>
            <w:shd w:val="clear" w:color="auto" w:fill="BFBFBF" w:themeFill="background1" w:themeFillShade="BF"/>
          </w:tcPr>
          <w:p w14:paraId="04F2056B" w14:textId="6ADBD8A3" w:rsidR="00FA05FB" w:rsidRPr="00A92CED" w:rsidRDefault="00FA05FB" w:rsidP="00D335B4">
            <w:pPr>
              <w:spacing w:before="60" w:after="60"/>
              <w:jc w:val="center"/>
              <w:rPr>
                <w:rFonts w:ascii="Arial" w:hAnsi="Arial" w:cs="Arial"/>
                <w:b/>
                <w:sz w:val="26"/>
                <w:szCs w:val="26"/>
                <w:lang w:val="fr-CA"/>
              </w:rPr>
            </w:pPr>
            <w:r w:rsidRPr="00A92CED">
              <w:rPr>
                <w:rFonts w:ascii="Arial" w:hAnsi="Arial" w:cs="Arial"/>
                <w:b/>
                <w:sz w:val="26"/>
                <w:szCs w:val="26"/>
                <w:lang w:val="fr-CA"/>
              </w:rPr>
              <w:t>Justification</w:t>
            </w:r>
          </w:p>
        </w:tc>
        <w:tc>
          <w:tcPr>
            <w:tcW w:w="3087" w:type="dxa"/>
            <w:shd w:val="clear" w:color="auto" w:fill="BFBFBF" w:themeFill="background1" w:themeFillShade="BF"/>
          </w:tcPr>
          <w:p w14:paraId="7AE24441" w14:textId="4781BC54" w:rsidR="00FA05FB" w:rsidRPr="00A92CED" w:rsidRDefault="008B676F" w:rsidP="00D335B4">
            <w:pPr>
              <w:spacing w:before="60" w:after="60"/>
              <w:jc w:val="center"/>
              <w:rPr>
                <w:rFonts w:ascii="Arial" w:hAnsi="Arial" w:cs="Arial"/>
                <w:b/>
                <w:sz w:val="26"/>
                <w:szCs w:val="26"/>
                <w:lang w:val="fr-CA"/>
              </w:rPr>
            </w:pPr>
            <w:r w:rsidRPr="00A92CED">
              <w:rPr>
                <w:rFonts w:ascii="Arial" w:hAnsi="Arial" w:cs="Arial"/>
                <w:b/>
                <w:sz w:val="26"/>
                <w:szCs w:val="26"/>
                <w:lang w:val="fr-CA"/>
              </w:rPr>
              <w:t>Commentaires</w:t>
            </w:r>
          </w:p>
        </w:tc>
      </w:tr>
      <w:tr w:rsidR="00A92CED" w:rsidRPr="00A92CED" w14:paraId="676212E3" w14:textId="55615F9B" w:rsidTr="00F47EB0">
        <w:tc>
          <w:tcPr>
            <w:tcW w:w="17147" w:type="dxa"/>
            <w:gridSpan w:val="6"/>
            <w:shd w:val="clear" w:color="auto" w:fill="D9D9D9" w:themeFill="background1" w:themeFillShade="D9"/>
          </w:tcPr>
          <w:p w14:paraId="139DB007" w14:textId="4F9FCE45" w:rsidR="00FA05FB" w:rsidRPr="00A92CED" w:rsidRDefault="00FA05FB" w:rsidP="003E1A16">
            <w:pPr>
              <w:spacing w:before="60" w:after="60"/>
              <w:jc w:val="center"/>
              <w:rPr>
                <w:rFonts w:ascii="Arial" w:hAnsi="Arial" w:cs="Arial"/>
                <w:b/>
                <w:sz w:val="24"/>
                <w:szCs w:val="24"/>
                <w:lang w:val="fr-CA"/>
              </w:rPr>
            </w:pPr>
            <w:r w:rsidRPr="00A92CED">
              <w:rPr>
                <w:rFonts w:ascii="Arial" w:hAnsi="Arial" w:cs="Arial"/>
                <w:b/>
                <w:sz w:val="24"/>
                <w:szCs w:val="24"/>
                <w:lang w:val="fr-CA"/>
              </w:rPr>
              <w:t>PARTIE 1 – Introduction</w:t>
            </w:r>
          </w:p>
        </w:tc>
      </w:tr>
      <w:tr w:rsidR="00A92CED" w:rsidRPr="00A92CED" w14:paraId="2858B8F4" w14:textId="77777777" w:rsidTr="00E10233">
        <w:tc>
          <w:tcPr>
            <w:tcW w:w="3126" w:type="dxa"/>
          </w:tcPr>
          <w:p w14:paraId="66B5C687" w14:textId="77777777" w:rsidR="009E3D26" w:rsidRPr="00A92CED" w:rsidRDefault="009E3D26">
            <w:pPr>
              <w:pStyle w:val="ListParagraph"/>
              <w:numPr>
                <w:ilvl w:val="0"/>
                <w:numId w:val="1"/>
              </w:numPr>
              <w:rPr>
                <w:lang w:val="fr-CA"/>
              </w:rPr>
            </w:pPr>
          </w:p>
        </w:tc>
        <w:tc>
          <w:tcPr>
            <w:tcW w:w="3715" w:type="dxa"/>
          </w:tcPr>
          <w:p w14:paraId="51ED5EA5" w14:textId="7A16050E" w:rsidR="009E3D26" w:rsidRPr="00A92CED" w:rsidRDefault="009E3D26" w:rsidP="003E1A16">
            <w:pPr>
              <w:rPr>
                <w:rFonts w:ascii="Calibri" w:hAnsi="Calibri" w:cs="Calibri"/>
                <w:lang w:val="fr-CA"/>
              </w:rPr>
            </w:pPr>
            <w:r w:rsidRPr="00A92CED">
              <w:rPr>
                <w:rFonts w:ascii="Calibri" w:hAnsi="Calibri" w:cs="Calibri"/>
                <w:b/>
                <w:bCs/>
                <w:lang w:val="fr-CA"/>
              </w:rPr>
              <w:t xml:space="preserve">4 </w:t>
            </w:r>
            <w:r w:rsidRPr="00A92CED">
              <w:rPr>
                <w:rFonts w:ascii="Calibri" w:hAnsi="Calibri" w:cs="Calibri"/>
                <w:lang w:val="fr-CA"/>
              </w:rPr>
              <w:t>(10)</w:t>
            </w:r>
            <w:r w:rsidRPr="00A92CED">
              <w:rPr>
                <w:rFonts w:ascii="Calibri" w:hAnsi="Calibri" w:cs="Calibri"/>
                <w:b/>
                <w:bCs/>
                <w:lang w:val="fr-CA"/>
              </w:rPr>
              <w:t xml:space="preserve"> </w:t>
            </w:r>
            <w:r w:rsidRPr="00A92CED">
              <w:rPr>
                <w:rFonts w:ascii="Calibri" w:hAnsi="Calibri" w:cs="Calibri"/>
                <w:lang w:val="fr-CA"/>
              </w:rPr>
              <w:t>Les parties 10 à 15 prévoient les exigences relatives à l</w:t>
            </w:r>
            <w:r w:rsidR="0030467D" w:rsidRPr="00A92CED">
              <w:rPr>
                <w:rFonts w:ascii="Calibri" w:hAnsi="Calibri" w:cs="Calibri"/>
                <w:lang w:val="fr-CA"/>
              </w:rPr>
              <w:t>’</w:t>
            </w:r>
            <w:r w:rsidRPr="00A92CED">
              <w:rPr>
                <w:rFonts w:ascii="Calibri" w:hAnsi="Calibri" w:cs="Calibri"/>
                <w:lang w:val="fr-CA"/>
              </w:rPr>
              <w:t>acquisition, au stockage et à la vente des types d</w:t>
            </w:r>
            <w:r w:rsidR="0030467D" w:rsidRPr="00A92CED">
              <w:rPr>
                <w:rFonts w:ascii="Calibri" w:hAnsi="Calibri" w:cs="Calibri"/>
                <w:lang w:val="fr-CA"/>
              </w:rPr>
              <w:t>’</w:t>
            </w:r>
            <w:r w:rsidRPr="00A92CED">
              <w:rPr>
                <w:rFonts w:ascii="Calibri" w:hAnsi="Calibri" w:cs="Calibri"/>
                <w:lang w:val="fr-CA"/>
              </w:rPr>
              <w:t>explosifs suivants :</w:t>
            </w:r>
          </w:p>
          <w:p w14:paraId="668E11DE" w14:textId="279E9F98" w:rsidR="009E3D26" w:rsidRPr="00A92CED" w:rsidRDefault="009E3D26" w:rsidP="009E3D26">
            <w:pPr>
              <w:ind w:left="720"/>
              <w:rPr>
                <w:rFonts w:cstheme="minorHAnsi"/>
                <w:b/>
                <w:bCs/>
                <w:sz w:val="20"/>
                <w:szCs w:val="20"/>
                <w:lang w:val="fr-CA"/>
              </w:rPr>
            </w:pPr>
            <w:r w:rsidRPr="00A92CED">
              <w:rPr>
                <w:rFonts w:ascii="Calibri" w:hAnsi="Calibri" w:cs="Calibri"/>
                <w:lang w:val="fr-CA"/>
              </w:rPr>
              <w:t>f) moteurs de fusée (partie 15);</w:t>
            </w:r>
          </w:p>
        </w:tc>
        <w:tc>
          <w:tcPr>
            <w:tcW w:w="4076" w:type="dxa"/>
          </w:tcPr>
          <w:p w14:paraId="73504FE8" w14:textId="04A3F1E0" w:rsidR="009E3D26" w:rsidRPr="00A92CED" w:rsidRDefault="00346E5E" w:rsidP="00483067">
            <w:pPr>
              <w:rPr>
                <w:rFonts w:ascii="Calibri" w:hAnsi="Calibri" w:cs="Calibri"/>
                <w:lang w:val="fr-CA"/>
              </w:rPr>
            </w:pPr>
            <w:r w:rsidRPr="00A92CED">
              <w:rPr>
                <w:lang w:val="fr-CA"/>
              </w:rPr>
              <w:t>Modifier l</w:t>
            </w:r>
            <w:r w:rsidR="0030467D" w:rsidRPr="00A92CED">
              <w:rPr>
                <w:lang w:val="fr-CA"/>
              </w:rPr>
              <w:t>’</w:t>
            </w:r>
            <w:r w:rsidRPr="00A92CED">
              <w:rPr>
                <w:lang w:val="fr-CA"/>
              </w:rPr>
              <w:t xml:space="preserve">alinéa </w:t>
            </w:r>
            <w:r w:rsidR="00381488" w:rsidRPr="00A92CED">
              <w:rPr>
                <w:lang w:val="fr-CA"/>
              </w:rPr>
              <w:t xml:space="preserve">4(10)f) </w:t>
            </w:r>
            <w:r w:rsidRPr="00A92CED">
              <w:rPr>
                <w:lang w:val="fr-CA"/>
              </w:rPr>
              <w:t xml:space="preserve">pour remplacer </w:t>
            </w:r>
            <w:r w:rsidRPr="00A92CED">
              <w:rPr>
                <w:rFonts w:cstheme="minorHAnsi"/>
                <w:lang w:val="fr-CA"/>
              </w:rPr>
              <w:t>«</w:t>
            </w:r>
            <w:r w:rsidRPr="00A92CED">
              <w:rPr>
                <w:lang w:val="fr-CA"/>
              </w:rPr>
              <w:t> </w:t>
            </w:r>
            <w:r w:rsidR="00A06108" w:rsidRPr="00A92CED">
              <w:rPr>
                <w:lang w:val="fr-CA"/>
              </w:rPr>
              <w:t>moteurs de fusée (partie 15) </w:t>
            </w:r>
            <w:r w:rsidRPr="00A92CED">
              <w:rPr>
                <w:rFonts w:cstheme="minorHAnsi"/>
                <w:lang w:val="fr-CA"/>
              </w:rPr>
              <w:t>»</w:t>
            </w:r>
            <w:r w:rsidR="00381488" w:rsidRPr="00A92CED">
              <w:rPr>
                <w:lang w:val="fr-CA"/>
              </w:rPr>
              <w:t xml:space="preserve"> </w:t>
            </w:r>
            <w:r w:rsidR="00A06108" w:rsidRPr="00A92CED">
              <w:rPr>
                <w:lang w:val="fr-CA"/>
              </w:rPr>
              <w:t xml:space="preserve">par </w:t>
            </w:r>
            <w:r w:rsidR="00A06108" w:rsidRPr="00A92CED">
              <w:rPr>
                <w:rFonts w:cstheme="minorHAnsi"/>
                <w:lang w:val="fr-CA"/>
              </w:rPr>
              <w:t>« moteurs de fusée miniature, moteurs de fusée haute puissance et moteurs de fusée haute puissance</w:t>
            </w:r>
            <w:r w:rsidR="000F6671" w:rsidRPr="00A92CED">
              <w:rPr>
                <w:rFonts w:cstheme="minorHAnsi"/>
                <w:lang w:val="fr-CA"/>
              </w:rPr>
              <w:t xml:space="preserve"> avancés</w:t>
            </w:r>
            <w:r w:rsidR="00A06108" w:rsidRPr="00A92CED">
              <w:rPr>
                <w:rFonts w:cstheme="minorHAnsi"/>
                <w:lang w:val="fr-CA"/>
              </w:rPr>
              <w:t xml:space="preserve"> (partie 15)</w:t>
            </w:r>
            <w:r w:rsidR="00381488" w:rsidRPr="00A92CED">
              <w:rPr>
                <w:lang w:val="fr-CA"/>
              </w:rPr>
              <w:t>.</w:t>
            </w:r>
            <w:r w:rsidR="00A06108" w:rsidRPr="00A92CED">
              <w:rPr>
                <w:lang w:val="fr-CA"/>
              </w:rPr>
              <w:t> </w:t>
            </w:r>
            <w:r w:rsidR="00A06108" w:rsidRPr="00A92CED">
              <w:rPr>
                <w:rFonts w:ascii="Calibri" w:hAnsi="Calibri" w:cs="Calibri"/>
                <w:lang w:val="fr-CA"/>
              </w:rPr>
              <w:t>»</w:t>
            </w:r>
          </w:p>
        </w:tc>
        <w:tc>
          <w:tcPr>
            <w:tcW w:w="3143" w:type="dxa"/>
            <w:gridSpan w:val="2"/>
          </w:tcPr>
          <w:p w14:paraId="6B166473" w14:textId="62B327EF" w:rsidR="009E3D26" w:rsidRPr="00A92CED" w:rsidRDefault="00A06108" w:rsidP="00E37311">
            <w:pPr>
              <w:rPr>
                <w:lang w:val="fr-CA"/>
              </w:rPr>
            </w:pPr>
            <w:r w:rsidRPr="00A92CED">
              <w:rPr>
                <w:lang w:val="fr-CA"/>
              </w:rPr>
              <w:t>Cet amendement proposé vise à appuyer l</w:t>
            </w:r>
            <w:r w:rsidR="0030467D" w:rsidRPr="00A92CED">
              <w:rPr>
                <w:lang w:val="fr-CA"/>
              </w:rPr>
              <w:t>’</w:t>
            </w:r>
            <w:r w:rsidRPr="00A92CED">
              <w:rPr>
                <w:lang w:val="fr-CA"/>
              </w:rPr>
              <w:t>ajout d</w:t>
            </w:r>
            <w:r w:rsidR="0030467D" w:rsidRPr="00A92CED">
              <w:rPr>
                <w:lang w:val="fr-CA"/>
              </w:rPr>
              <w:t>’</w:t>
            </w:r>
            <w:r w:rsidRPr="00A92CED">
              <w:rPr>
                <w:lang w:val="fr-CA"/>
              </w:rPr>
              <w:t>une nouvelle section 3 à la partie 15 pour établir les exigences s</w:t>
            </w:r>
            <w:r w:rsidR="0030467D" w:rsidRPr="00A92CED">
              <w:rPr>
                <w:lang w:val="fr-CA"/>
              </w:rPr>
              <w:t>’</w:t>
            </w:r>
            <w:r w:rsidRPr="00A92CED">
              <w:rPr>
                <w:lang w:val="fr-CA"/>
              </w:rPr>
              <w:t>appliquant aux moteurs</w:t>
            </w:r>
            <w:r w:rsidR="003360EC" w:rsidRPr="00A92CED">
              <w:rPr>
                <w:lang w:val="fr-CA"/>
              </w:rPr>
              <w:t xml:space="preserve"> </w:t>
            </w:r>
            <w:r w:rsidRPr="00A92CED">
              <w:rPr>
                <w:lang w:val="fr-CA"/>
              </w:rPr>
              <w:t>de fusée haute puissance</w:t>
            </w:r>
            <w:r w:rsidR="000F6671" w:rsidRPr="00A92CED">
              <w:rPr>
                <w:lang w:val="fr-CA"/>
              </w:rPr>
              <w:t xml:space="preserve"> avancés</w:t>
            </w:r>
            <w:r w:rsidRPr="00A92CED">
              <w:rPr>
                <w:lang w:val="fr-CA"/>
              </w:rPr>
              <w:t>.</w:t>
            </w:r>
            <w:r w:rsidR="009667C7" w:rsidRPr="00A92CED">
              <w:rPr>
                <w:lang w:val="fr-CA"/>
              </w:rPr>
              <w:t xml:space="preserve"> </w:t>
            </w:r>
          </w:p>
        </w:tc>
        <w:tc>
          <w:tcPr>
            <w:tcW w:w="3087" w:type="dxa"/>
          </w:tcPr>
          <w:p w14:paraId="551882A4" w14:textId="77777777" w:rsidR="009E3D26" w:rsidRPr="00A92CED" w:rsidRDefault="009E3D26" w:rsidP="00E37311">
            <w:pPr>
              <w:rPr>
                <w:lang w:val="fr-CA"/>
              </w:rPr>
            </w:pPr>
          </w:p>
        </w:tc>
      </w:tr>
      <w:tr w:rsidR="00A92CED" w:rsidRPr="00A92CED" w14:paraId="2DF4F10C" w14:textId="77777777" w:rsidTr="00E10233">
        <w:tc>
          <w:tcPr>
            <w:tcW w:w="3126" w:type="dxa"/>
          </w:tcPr>
          <w:p w14:paraId="0BA235AB" w14:textId="77777777" w:rsidR="00621017" w:rsidRPr="00A92CED" w:rsidRDefault="00621017" w:rsidP="00621017">
            <w:pPr>
              <w:pStyle w:val="ListParagraph"/>
              <w:numPr>
                <w:ilvl w:val="0"/>
                <w:numId w:val="1"/>
              </w:numPr>
              <w:rPr>
                <w:lang w:val="fr-CA"/>
              </w:rPr>
            </w:pPr>
          </w:p>
        </w:tc>
        <w:tc>
          <w:tcPr>
            <w:tcW w:w="3715" w:type="dxa"/>
          </w:tcPr>
          <w:p w14:paraId="68F188E8" w14:textId="153ED5FD" w:rsidR="00621017" w:rsidRPr="00A92CED" w:rsidRDefault="00621017" w:rsidP="00621017">
            <w:pPr>
              <w:rPr>
                <w:rFonts w:ascii="Calibri" w:hAnsi="Calibri" w:cs="Calibri"/>
                <w:lang w:val="fr-CA"/>
              </w:rPr>
            </w:pPr>
            <w:r w:rsidRPr="00A92CED">
              <w:rPr>
                <w:rFonts w:cstheme="minorHAnsi"/>
                <w:b/>
                <w:bCs/>
                <w:sz w:val="20"/>
                <w:szCs w:val="20"/>
                <w:lang w:val="fr-CA"/>
              </w:rPr>
              <w:t xml:space="preserve">6 </w:t>
            </w:r>
            <w:r w:rsidRPr="00A92CED">
              <w:rPr>
                <w:rFonts w:ascii="Calibri" w:hAnsi="Calibri" w:cs="Calibri"/>
                <w:lang w:val="fr-CA"/>
              </w:rPr>
              <w:t>(3) Les définitions qui suivent s</w:t>
            </w:r>
            <w:r w:rsidR="0030467D" w:rsidRPr="00A92CED">
              <w:rPr>
                <w:rFonts w:ascii="Calibri" w:hAnsi="Calibri" w:cs="Calibri"/>
                <w:lang w:val="fr-CA"/>
              </w:rPr>
              <w:t>’</w:t>
            </w:r>
            <w:r w:rsidRPr="00A92CED">
              <w:rPr>
                <w:rFonts w:ascii="Calibri" w:hAnsi="Calibri" w:cs="Calibri"/>
                <w:lang w:val="fr-CA"/>
              </w:rPr>
              <w:t>appliquent au présent règlement.</w:t>
            </w:r>
          </w:p>
        </w:tc>
        <w:tc>
          <w:tcPr>
            <w:tcW w:w="4076" w:type="dxa"/>
          </w:tcPr>
          <w:p w14:paraId="266D23A7" w14:textId="77777777" w:rsidR="0082635F" w:rsidRPr="00A92CED" w:rsidRDefault="0082635F" w:rsidP="0082635F">
            <w:pPr>
              <w:rPr>
                <w:bCs/>
                <w:lang w:val="fr-CA"/>
              </w:rPr>
            </w:pPr>
            <w:r w:rsidRPr="00A92CED">
              <w:rPr>
                <w:bCs/>
                <w:lang w:val="fr-CA"/>
              </w:rPr>
              <w:t>Modifier le paragraphe 6(3) pour ajouter la nouvelle définition suivante :</w:t>
            </w:r>
          </w:p>
          <w:p w14:paraId="43FD75DD" w14:textId="77777777" w:rsidR="0082635F" w:rsidRPr="00A92CED" w:rsidRDefault="0082635F" w:rsidP="0082635F">
            <w:pPr>
              <w:rPr>
                <w:bCs/>
                <w:lang w:val="fr-CA"/>
              </w:rPr>
            </w:pPr>
          </w:p>
          <w:p w14:paraId="151E176F" w14:textId="0A18D3E5" w:rsidR="00621017" w:rsidRPr="00A92CED" w:rsidRDefault="0082635F" w:rsidP="0082635F">
            <w:pPr>
              <w:rPr>
                <w:bCs/>
                <w:lang w:val="fr-CA"/>
              </w:rPr>
            </w:pPr>
            <w:r w:rsidRPr="00A92CED">
              <w:rPr>
                <w:b/>
                <w:i/>
                <w:iCs/>
                <w:lang w:val="fr-CA"/>
              </w:rPr>
              <w:t>organisme d</w:t>
            </w:r>
            <w:r w:rsidR="0030467D" w:rsidRPr="00A92CED">
              <w:rPr>
                <w:b/>
                <w:i/>
                <w:iCs/>
                <w:lang w:val="fr-CA"/>
              </w:rPr>
              <w:t>’</w:t>
            </w:r>
            <w:r w:rsidRPr="00A92CED">
              <w:rPr>
                <w:b/>
                <w:i/>
                <w:iCs/>
                <w:lang w:val="fr-CA"/>
              </w:rPr>
              <w:t>application de la loi</w:t>
            </w:r>
            <w:r w:rsidRPr="00A92CED">
              <w:rPr>
                <w:bCs/>
                <w:lang w:val="fr-CA"/>
              </w:rPr>
              <w:t xml:space="preserve"> </w:t>
            </w:r>
            <w:r w:rsidR="003866DE" w:rsidRPr="00A92CED">
              <w:rPr>
                <w:bCs/>
                <w:lang w:val="fr-CA"/>
              </w:rPr>
              <w:t>Service</w:t>
            </w:r>
            <w:r w:rsidRPr="00A92CED">
              <w:rPr>
                <w:bCs/>
                <w:lang w:val="fr-CA"/>
              </w:rPr>
              <w:t xml:space="preserve"> de police établi pour une province, une municipalité ou une région, la Gendarmerie royale du Canada, le Service correctionnel du Canada ou l</w:t>
            </w:r>
            <w:r w:rsidR="0030467D" w:rsidRPr="00A92CED">
              <w:rPr>
                <w:bCs/>
                <w:lang w:val="fr-CA"/>
              </w:rPr>
              <w:t>’</w:t>
            </w:r>
            <w:r w:rsidRPr="00A92CED">
              <w:rPr>
                <w:bCs/>
                <w:lang w:val="fr-CA"/>
              </w:rPr>
              <w:t>Agence des services frontaliers du Canada</w:t>
            </w:r>
            <w:r w:rsidR="00621017" w:rsidRPr="00A92CED">
              <w:rPr>
                <w:lang w:val="fr-CA"/>
              </w:rPr>
              <w:t xml:space="preserve"> (</w:t>
            </w:r>
            <w:r w:rsidR="003866DE" w:rsidRPr="00A92CED">
              <w:rPr>
                <w:i/>
                <w:iCs/>
                <w:lang w:val="fr-CA"/>
              </w:rPr>
              <w:t>law enforcement agency</w:t>
            </w:r>
            <w:r w:rsidR="00621017" w:rsidRPr="00A92CED">
              <w:rPr>
                <w:lang w:val="fr-CA"/>
              </w:rPr>
              <w:t>)</w:t>
            </w:r>
            <w:r w:rsidR="00B23593" w:rsidRPr="00A92CED">
              <w:rPr>
                <w:lang w:val="fr-CA"/>
              </w:rPr>
              <w:t xml:space="preserve"> </w:t>
            </w:r>
          </w:p>
        </w:tc>
        <w:tc>
          <w:tcPr>
            <w:tcW w:w="3143" w:type="dxa"/>
            <w:gridSpan w:val="2"/>
          </w:tcPr>
          <w:p w14:paraId="117A2BAD" w14:textId="44E26226" w:rsidR="0082635F" w:rsidRPr="00A92CED" w:rsidRDefault="0082635F" w:rsidP="0082635F">
            <w:pPr>
              <w:rPr>
                <w:lang w:val="fr-CA"/>
              </w:rPr>
            </w:pPr>
            <w:r w:rsidRPr="00A92CED">
              <w:rPr>
                <w:lang w:val="fr-CA"/>
              </w:rPr>
              <w:t xml:space="preserve">Cette proposition de modification </w:t>
            </w:r>
            <w:r w:rsidR="003866DE" w:rsidRPr="00A92CED">
              <w:rPr>
                <w:lang w:val="fr-CA"/>
              </w:rPr>
              <w:t>est conforme au but</w:t>
            </w:r>
            <w:r w:rsidRPr="00A92CED">
              <w:rPr>
                <w:lang w:val="fr-CA"/>
              </w:rPr>
              <w:t xml:space="preserve"> de la politique </w:t>
            </w:r>
            <w:r w:rsidR="003866DE" w:rsidRPr="00A92CED">
              <w:rPr>
                <w:lang w:val="fr-CA"/>
              </w:rPr>
              <w:t>consistant à</w:t>
            </w:r>
            <w:r w:rsidRPr="00A92CED">
              <w:rPr>
                <w:lang w:val="fr-CA"/>
              </w:rPr>
              <w:t xml:space="preserve"> supprimer la définition d</w:t>
            </w:r>
            <w:r w:rsidR="0030467D" w:rsidRPr="00A92CED">
              <w:rPr>
                <w:lang w:val="fr-CA"/>
              </w:rPr>
              <w:t>’</w:t>
            </w:r>
            <w:r w:rsidR="003866DE" w:rsidRPr="00A92CED">
              <w:rPr>
                <w:lang w:val="fr-CA"/>
              </w:rPr>
              <w:t>un</w:t>
            </w:r>
            <w:r w:rsidRPr="00A92CED">
              <w:rPr>
                <w:lang w:val="fr-CA"/>
              </w:rPr>
              <w:t xml:space="preserve"> « organisme d</w:t>
            </w:r>
            <w:r w:rsidR="0030467D" w:rsidRPr="00A92CED">
              <w:rPr>
                <w:lang w:val="fr-CA"/>
              </w:rPr>
              <w:t>’</w:t>
            </w:r>
            <w:r w:rsidRPr="00A92CED">
              <w:rPr>
                <w:lang w:val="fr-CA"/>
              </w:rPr>
              <w:t xml:space="preserve">application de la loi » de la </w:t>
            </w:r>
            <w:r w:rsidR="003866DE" w:rsidRPr="00A92CED">
              <w:rPr>
                <w:lang w:val="fr-CA"/>
              </w:rPr>
              <w:t>P</w:t>
            </w:r>
            <w:r w:rsidRPr="00A92CED">
              <w:rPr>
                <w:lang w:val="fr-CA"/>
              </w:rPr>
              <w:t xml:space="preserve">artie 10, conformément à la </w:t>
            </w:r>
            <w:r w:rsidR="003866DE" w:rsidRPr="00A92CED">
              <w:rPr>
                <w:lang w:val="fr-CA"/>
              </w:rPr>
              <w:t xml:space="preserve">proposition de </w:t>
            </w:r>
            <w:r w:rsidRPr="00A92CED">
              <w:rPr>
                <w:lang w:val="fr-CA"/>
              </w:rPr>
              <w:t xml:space="preserve">modification </w:t>
            </w:r>
            <w:r w:rsidR="003866DE" w:rsidRPr="00A92CED">
              <w:rPr>
                <w:lang w:val="fr-CA"/>
              </w:rPr>
              <w:t>de</w:t>
            </w:r>
            <w:r w:rsidRPr="00A92CED">
              <w:rPr>
                <w:lang w:val="fr-CA"/>
              </w:rPr>
              <w:t xml:space="preserve"> l</w:t>
            </w:r>
            <w:r w:rsidR="0030467D" w:rsidRPr="00A92CED">
              <w:rPr>
                <w:lang w:val="fr-CA"/>
              </w:rPr>
              <w:t>’</w:t>
            </w:r>
            <w:r w:rsidRPr="00A92CED">
              <w:rPr>
                <w:lang w:val="fr-CA"/>
              </w:rPr>
              <w:t xml:space="preserve">article 205 </w:t>
            </w:r>
            <w:r w:rsidR="003866DE" w:rsidRPr="00A92CED">
              <w:rPr>
                <w:lang w:val="fr-CA"/>
              </w:rPr>
              <w:t>au point</w:t>
            </w:r>
            <w:r w:rsidRPr="00A92CED">
              <w:rPr>
                <w:lang w:val="fr-CA"/>
              </w:rPr>
              <w:t> 9</w:t>
            </w:r>
            <w:r w:rsidR="006E59C5" w:rsidRPr="00A92CED">
              <w:rPr>
                <w:lang w:val="fr-CA"/>
              </w:rPr>
              <w:t>4</w:t>
            </w:r>
            <w:r w:rsidRPr="00A92CED">
              <w:rPr>
                <w:lang w:val="fr-CA"/>
              </w:rPr>
              <w:t xml:space="preserve"> du présent document de consultation, et </w:t>
            </w:r>
            <w:r w:rsidR="003866DE" w:rsidRPr="00A92CED">
              <w:rPr>
                <w:lang w:val="fr-CA"/>
              </w:rPr>
              <w:t xml:space="preserve">à </w:t>
            </w:r>
            <w:r w:rsidRPr="00A92CED">
              <w:rPr>
                <w:lang w:val="fr-CA"/>
              </w:rPr>
              <w:t>ajouter une définition mise à jour d</w:t>
            </w:r>
            <w:r w:rsidR="0030467D" w:rsidRPr="00A92CED">
              <w:rPr>
                <w:lang w:val="fr-CA"/>
              </w:rPr>
              <w:t>’</w:t>
            </w:r>
            <w:r w:rsidR="003866DE" w:rsidRPr="00A92CED">
              <w:rPr>
                <w:lang w:val="fr-CA"/>
              </w:rPr>
              <w:t>un</w:t>
            </w:r>
            <w:r w:rsidRPr="00A92CED">
              <w:rPr>
                <w:lang w:val="fr-CA"/>
              </w:rPr>
              <w:t xml:space="preserve"> « organisme d</w:t>
            </w:r>
            <w:r w:rsidR="0030467D" w:rsidRPr="00A92CED">
              <w:rPr>
                <w:lang w:val="fr-CA"/>
              </w:rPr>
              <w:t>’</w:t>
            </w:r>
            <w:r w:rsidRPr="00A92CED">
              <w:rPr>
                <w:lang w:val="fr-CA"/>
              </w:rPr>
              <w:t xml:space="preserve">application de la loi » à la </w:t>
            </w:r>
            <w:r w:rsidR="003866DE" w:rsidRPr="00A92CED">
              <w:rPr>
                <w:lang w:val="fr-CA"/>
              </w:rPr>
              <w:t>P</w:t>
            </w:r>
            <w:r w:rsidRPr="00A92CED">
              <w:rPr>
                <w:lang w:val="fr-CA"/>
              </w:rPr>
              <w:t xml:space="preserve">artie 1 pour </w:t>
            </w:r>
            <w:r w:rsidR="003866DE" w:rsidRPr="00A92CED">
              <w:rPr>
                <w:lang w:val="fr-CA"/>
              </w:rPr>
              <w:t>faire en sorte</w:t>
            </w:r>
            <w:r w:rsidRPr="00A92CED">
              <w:rPr>
                <w:lang w:val="fr-CA"/>
              </w:rPr>
              <w:t xml:space="preserve"> que la définition s</w:t>
            </w:r>
            <w:r w:rsidR="0030467D" w:rsidRPr="00A92CED">
              <w:rPr>
                <w:lang w:val="fr-CA"/>
              </w:rPr>
              <w:t>’</w:t>
            </w:r>
            <w:r w:rsidRPr="00A92CED">
              <w:rPr>
                <w:lang w:val="fr-CA"/>
              </w:rPr>
              <w:t>applique à l</w:t>
            </w:r>
            <w:r w:rsidR="0030467D" w:rsidRPr="00A92CED">
              <w:rPr>
                <w:lang w:val="fr-CA"/>
              </w:rPr>
              <w:t>’</w:t>
            </w:r>
            <w:r w:rsidRPr="00A92CED">
              <w:rPr>
                <w:lang w:val="fr-CA"/>
              </w:rPr>
              <w:t>ensemble du Règlement.</w:t>
            </w:r>
            <w:r w:rsidR="00CA1A85" w:rsidRPr="00A92CED">
              <w:rPr>
                <w:lang w:val="fr-CA"/>
              </w:rPr>
              <w:t xml:space="preserve"> </w:t>
            </w:r>
          </w:p>
          <w:p w14:paraId="16EA45EB" w14:textId="77777777" w:rsidR="0082635F" w:rsidRPr="00A92CED" w:rsidRDefault="0082635F" w:rsidP="0082635F">
            <w:pPr>
              <w:rPr>
                <w:lang w:val="fr-CA"/>
              </w:rPr>
            </w:pPr>
          </w:p>
          <w:p w14:paraId="3E75A70F" w14:textId="30914D99" w:rsidR="00621017" w:rsidRPr="00A92CED" w:rsidRDefault="0082635F" w:rsidP="0082635F">
            <w:pPr>
              <w:rPr>
                <w:rFonts w:cstheme="minorHAnsi"/>
                <w:lang w:val="fr-CA"/>
              </w:rPr>
            </w:pPr>
            <w:r w:rsidRPr="00A92CED">
              <w:rPr>
                <w:lang w:val="fr-CA"/>
              </w:rPr>
              <w:t xml:space="preserve">La définition mise à jour </w:t>
            </w:r>
            <w:r w:rsidR="009B720F" w:rsidRPr="00A92CED">
              <w:rPr>
                <w:lang w:val="fr-CA"/>
              </w:rPr>
              <w:t>a pour but de</w:t>
            </w:r>
            <w:r w:rsidRPr="00A92CED">
              <w:rPr>
                <w:lang w:val="fr-CA"/>
              </w:rPr>
              <w:t xml:space="preserve"> </w:t>
            </w:r>
            <w:r w:rsidR="009B720F" w:rsidRPr="00A92CED">
              <w:rPr>
                <w:lang w:val="fr-CA"/>
              </w:rPr>
              <w:t>précis</w:t>
            </w:r>
            <w:r w:rsidRPr="00A92CED">
              <w:rPr>
                <w:lang w:val="fr-CA"/>
              </w:rPr>
              <w:t xml:space="preserve">er </w:t>
            </w:r>
            <w:r w:rsidR="009B720F" w:rsidRPr="00A92CED">
              <w:rPr>
                <w:lang w:val="fr-CA"/>
              </w:rPr>
              <w:t>quelle</w:t>
            </w:r>
            <w:r w:rsidRPr="00A92CED">
              <w:rPr>
                <w:lang w:val="fr-CA"/>
              </w:rPr>
              <w:t>s</w:t>
            </w:r>
            <w:r w:rsidR="009B720F" w:rsidRPr="00A92CED">
              <w:rPr>
                <w:lang w:val="fr-CA"/>
              </w:rPr>
              <w:t xml:space="preserve"> sont les</w:t>
            </w:r>
            <w:r w:rsidRPr="00A92CED">
              <w:rPr>
                <w:lang w:val="fr-CA"/>
              </w:rPr>
              <w:t xml:space="preserve"> entités </w:t>
            </w:r>
            <w:r w:rsidR="009B720F" w:rsidRPr="00A92CED">
              <w:rPr>
                <w:lang w:val="fr-CA"/>
              </w:rPr>
              <w:t>visée</w:t>
            </w:r>
            <w:r w:rsidRPr="00A92CED">
              <w:rPr>
                <w:lang w:val="fr-CA"/>
              </w:rPr>
              <w:t>s par le terme «</w:t>
            </w:r>
            <w:r w:rsidR="00035790" w:rsidRPr="00A92CED">
              <w:rPr>
                <w:lang w:val="fr-CA"/>
              </w:rPr>
              <w:t> </w:t>
            </w:r>
            <w:r w:rsidRPr="00A92CED">
              <w:rPr>
                <w:lang w:val="fr-CA"/>
              </w:rPr>
              <w:t>s</w:t>
            </w:r>
            <w:r w:rsidR="009B720F" w:rsidRPr="00A92CED">
              <w:rPr>
                <w:lang w:val="fr-CA"/>
              </w:rPr>
              <w:t>ervice</w:t>
            </w:r>
            <w:r w:rsidRPr="00A92CED">
              <w:rPr>
                <w:lang w:val="fr-CA"/>
              </w:rPr>
              <w:t xml:space="preserve"> de police</w:t>
            </w:r>
            <w:r w:rsidR="00035790" w:rsidRPr="00A92CED">
              <w:rPr>
                <w:lang w:val="fr-CA"/>
              </w:rPr>
              <w:t> </w:t>
            </w:r>
            <w:r w:rsidRPr="00A92CED">
              <w:rPr>
                <w:lang w:val="fr-CA"/>
              </w:rPr>
              <w:t>» dans la définition originale.</w:t>
            </w:r>
          </w:p>
        </w:tc>
        <w:tc>
          <w:tcPr>
            <w:tcW w:w="3087" w:type="dxa"/>
          </w:tcPr>
          <w:p w14:paraId="4296CAF5" w14:textId="77777777" w:rsidR="00621017" w:rsidRPr="00A92CED" w:rsidRDefault="00621017" w:rsidP="00621017">
            <w:pPr>
              <w:rPr>
                <w:lang w:val="fr-CA"/>
              </w:rPr>
            </w:pPr>
          </w:p>
        </w:tc>
      </w:tr>
      <w:tr w:rsidR="00A92CED" w:rsidRPr="00A92CED" w14:paraId="335DD2DE" w14:textId="2376B38B" w:rsidTr="00E10233">
        <w:tc>
          <w:tcPr>
            <w:tcW w:w="3126" w:type="dxa"/>
          </w:tcPr>
          <w:p w14:paraId="157EEAD7" w14:textId="6527C72F" w:rsidR="00FA05FB" w:rsidRPr="00A92CED" w:rsidRDefault="00FA05FB">
            <w:pPr>
              <w:pStyle w:val="ListParagraph"/>
              <w:numPr>
                <w:ilvl w:val="0"/>
                <w:numId w:val="1"/>
              </w:numPr>
              <w:rPr>
                <w:lang w:val="fr-CA"/>
              </w:rPr>
            </w:pPr>
            <w:r w:rsidRPr="00A92CED">
              <w:rPr>
                <w:lang w:val="fr-CA"/>
              </w:rPr>
              <w:lastRenderedPageBreak/>
              <w:t xml:space="preserve"> </w:t>
            </w:r>
          </w:p>
        </w:tc>
        <w:tc>
          <w:tcPr>
            <w:tcW w:w="3715" w:type="dxa"/>
          </w:tcPr>
          <w:p w14:paraId="4C8A94E8" w14:textId="6DE1D632" w:rsidR="00FA05FB" w:rsidRPr="00A92CED" w:rsidRDefault="00FA05FB" w:rsidP="003E1A16">
            <w:pPr>
              <w:rPr>
                <w:rFonts w:ascii="Calibri" w:hAnsi="Calibri" w:cs="Calibri"/>
                <w:lang w:val="fr-CA"/>
              </w:rPr>
            </w:pPr>
            <w:r w:rsidRPr="00A92CED">
              <w:rPr>
                <w:rFonts w:cstheme="minorHAnsi"/>
                <w:b/>
                <w:bCs/>
                <w:sz w:val="20"/>
                <w:szCs w:val="20"/>
                <w:lang w:val="fr-CA"/>
              </w:rPr>
              <w:t xml:space="preserve">6 </w:t>
            </w:r>
            <w:r w:rsidRPr="00A92CED">
              <w:rPr>
                <w:rFonts w:ascii="Calibri" w:hAnsi="Calibri" w:cs="Calibri"/>
                <w:lang w:val="fr-CA"/>
              </w:rPr>
              <w:t>(3) Les définitions qui suivent s</w:t>
            </w:r>
            <w:r w:rsidR="0030467D" w:rsidRPr="00A92CED">
              <w:rPr>
                <w:rFonts w:ascii="Calibri" w:hAnsi="Calibri" w:cs="Calibri"/>
                <w:lang w:val="fr-CA"/>
              </w:rPr>
              <w:t>’</w:t>
            </w:r>
            <w:r w:rsidRPr="00A92CED">
              <w:rPr>
                <w:rFonts w:ascii="Calibri" w:hAnsi="Calibri" w:cs="Calibri"/>
                <w:lang w:val="fr-CA"/>
              </w:rPr>
              <w:t>appliquent au présent règlement.</w:t>
            </w:r>
          </w:p>
          <w:p w14:paraId="3A7EACEB" w14:textId="77777777" w:rsidR="00FA05FB" w:rsidRPr="00A92CED" w:rsidRDefault="00FA05FB" w:rsidP="003E1A16">
            <w:pPr>
              <w:rPr>
                <w:rFonts w:ascii="UniversLTStd-BoldObl" w:hAnsi="UniversLTStd-BoldObl"/>
                <w:b/>
                <w:bCs/>
                <w:i/>
                <w:iCs/>
                <w:sz w:val="20"/>
                <w:szCs w:val="20"/>
                <w:lang w:val="fr-CA"/>
              </w:rPr>
            </w:pPr>
          </w:p>
          <w:p w14:paraId="631232D7" w14:textId="4C355844" w:rsidR="00FA05FB" w:rsidRPr="00A92CED" w:rsidRDefault="00FA05FB" w:rsidP="004E7F3B">
            <w:pPr>
              <w:rPr>
                <w:rFonts w:ascii="Calibri" w:hAnsi="Calibri" w:cs="Calibri"/>
                <w:b/>
                <w:bCs/>
                <w:lang w:val="fr-CA"/>
              </w:rPr>
            </w:pPr>
            <w:r w:rsidRPr="00A92CED">
              <w:rPr>
                <w:rFonts w:ascii="Calibri" w:hAnsi="Calibri" w:cs="Calibri"/>
                <w:b/>
                <w:bCs/>
                <w:i/>
                <w:iCs/>
                <w:lang w:val="fr-CA"/>
              </w:rPr>
              <w:t>lieu vulnérable</w:t>
            </w:r>
          </w:p>
          <w:p w14:paraId="4103F1C7" w14:textId="221FBA12" w:rsidR="00FA05FB" w:rsidRPr="00A92CED" w:rsidRDefault="00FA05FB" w:rsidP="004E7F3B">
            <w:pPr>
              <w:ind w:left="720"/>
              <w:rPr>
                <w:rFonts w:cstheme="minorHAnsi"/>
                <w:b/>
                <w:bCs/>
                <w:sz w:val="20"/>
                <w:szCs w:val="20"/>
                <w:lang w:val="fr-CA"/>
              </w:rPr>
            </w:pPr>
            <w:r w:rsidRPr="00A92CED">
              <w:rPr>
                <w:rFonts w:ascii="Calibri" w:hAnsi="Calibri" w:cs="Calibri"/>
                <w:lang w:val="fr-CA"/>
              </w:rPr>
              <w:t>a) Tout bâtiment dans lequel des gens vivent, travaillent ou se rassemblent;</w:t>
            </w:r>
            <w:r w:rsidRPr="00A92CED">
              <w:rPr>
                <w:rFonts w:ascii="Calibri" w:hAnsi="Calibri" w:cs="Calibri"/>
                <w:lang w:val="fr-CA"/>
              </w:rPr>
              <w:br/>
              <w:t>b) toute route publique, tout chemin de fer et tout</w:t>
            </w:r>
            <w:r w:rsidRPr="00A92CED">
              <w:rPr>
                <w:rFonts w:ascii="Calibri" w:hAnsi="Calibri" w:cs="Calibri"/>
                <w:lang w:val="fr-CA"/>
              </w:rPr>
              <w:br/>
              <w:t>autre infrastructure de transport;</w:t>
            </w:r>
            <w:r w:rsidRPr="00A92CED">
              <w:rPr>
                <w:rFonts w:ascii="Calibri" w:hAnsi="Calibri" w:cs="Calibri"/>
                <w:lang w:val="fr-CA"/>
              </w:rPr>
              <w:br/>
              <w:t>c) tout pipeline et toute ligne de transmission d</w:t>
            </w:r>
            <w:r w:rsidR="0030467D" w:rsidRPr="00A92CED">
              <w:rPr>
                <w:rFonts w:ascii="Calibri" w:hAnsi="Calibri" w:cs="Calibri"/>
                <w:lang w:val="fr-CA"/>
              </w:rPr>
              <w:t>’</w:t>
            </w:r>
            <w:r w:rsidRPr="00A92CED">
              <w:rPr>
                <w:rFonts w:ascii="Calibri" w:hAnsi="Calibri" w:cs="Calibri"/>
                <w:lang w:val="fr-CA"/>
              </w:rPr>
              <w:t>énergie;</w:t>
            </w:r>
            <w:r w:rsidRPr="00A92CED">
              <w:rPr>
                <w:rFonts w:ascii="Calibri" w:hAnsi="Calibri" w:cs="Calibri"/>
                <w:lang w:val="fr-CA"/>
              </w:rPr>
              <w:br/>
              <w:t>d)</w:t>
            </w:r>
            <w:r w:rsidRPr="00A92CED">
              <w:rPr>
                <w:rFonts w:ascii="Calibri" w:hAnsi="Calibri" w:cs="Calibri"/>
                <w:b/>
                <w:bCs/>
                <w:lang w:val="fr-CA"/>
              </w:rPr>
              <w:t xml:space="preserve"> </w:t>
            </w:r>
            <w:r w:rsidRPr="00A92CED">
              <w:rPr>
                <w:rFonts w:ascii="Calibri" w:hAnsi="Calibri" w:cs="Calibri"/>
                <w:lang w:val="fr-CA"/>
              </w:rPr>
              <w:t>tout endroit où il est probable que soit stockée une</w:t>
            </w:r>
            <w:r w:rsidRPr="00A92CED">
              <w:rPr>
                <w:rFonts w:ascii="Calibri" w:hAnsi="Calibri" w:cs="Calibri"/>
                <w:lang w:val="fr-CA"/>
              </w:rPr>
              <w:br/>
              <w:t>matière qui augmente la probabilité d</w:t>
            </w:r>
            <w:r w:rsidR="0030467D" w:rsidRPr="00A92CED">
              <w:rPr>
                <w:rFonts w:ascii="Calibri" w:hAnsi="Calibri" w:cs="Calibri"/>
                <w:lang w:val="fr-CA"/>
              </w:rPr>
              <w:t>’</w:t>
            </w:r>
            <w:r w:rsidRPr="00A92CED">
              <w:rPr>
                <w:rFonts w:ascii="Calibri" w:hAnsi="Calibri" w:cs="Calibri"/>
                <w:lang w:val="fr-CA"/>
              </w:rPr>
              <w:t>un incendie ou</w:t>
            </w:r>
            <w:r w:rsidRPr="00A92CED">
              <w:rPr>
                <w:rFonts w:ascii="Calibri" w:hAnsi="Calibri" w:cs="Calibri"/>
                <w:lang w:val="fr-CA"/>
              </w:rPr>
              <w:br/>
              <w:t>d</w:t>
            </w:r>
            <w:r w:rsidR="0030467D" w:rsidRPr="00A92CED">
              <w:rPr>
                <w:rFonts w:ascii="Calibri" w:hAnsi="Calibri" w:cs="Calibri"/>
                <w:lang w:val="fr-CA"/>
              </w:rPr>
              <w:t>’</w:t>
            </w:r>
            <w:r w:rsidRPr="00A92CED">
              <w:rPr>
                <w:rFonts w:ascii="Calibri" w:hAnsi="Calibri" w:cs="Calibri"/>
                <w:lang w:val="fr-CA"/>
              </w:rPr>
              <w:t>une explosion. (</w:t>
            </w:r>
            <w:r w:rsidRPr="00A92CED">
              <w:rPr>
                <w:rFonts w:ascii="Calibri" w:hAnsi="Calibri" w:cs="Calibri"/>
                <w:i/>
                <w:iCs/>
                <w:lang w:val="fr-CA"/>
              </w:rPr>
              <w:t>vulnerable place</w:t>
            </w:r>
            <w:r w:rsidRPr="00A92CED">
              <w:rPr>
                <w:rFonts w:ascii="Calibri" w:hAnsi="Calibri" w:cs="Calibri"/>
                <w:lang w:val="fr-CA"/>
              </w:rPr>
              <w:t>)</w:t>
            </w:r>
          </w:p>
        </w:tc>
        <w:tc>
          <w:tcPr>
            <w:tcW w:w="4076" w:type="dxa"/>
          </w:tcPr>
          <w:p w14:paraId="0D5C2CF5" w14:textId="3A73F00B" w:rsidR="00381488" w:rsidRPr="00A92CED" w:rsidRDefault="00A06108" w:rsidP="00381488">
            <w:pPr>
              <w:rPr>
                <w:bCs/>
                <w:lang w:val="fr-CA"/>
              </w:rPr>
            </w:pPr>
            <w:r w:rsidRPr="00A92CED">
              <w:rPr>
                <w:bCs/>
                <w:lang w:val="fr-CA"/>
              </w:rPr>
              <w:t>Modifier le paragraphe </w:t>
            </w:r>
            <w:r w:rsidR="00381488" w:rsidRPr="00A92CED">
              <w:rPr>
                <w:bCs/>
                <w:lang w:val="fr-CA"/>
              </w:rPr>
              <w:t xml:space="preserve">6(3) </w:t>
            </w:r>
            <w:r w:rsidRPr="00A92CED">
              <w:rPr>
                <w:bCs/>
                <w:lang w:val="fr-CA"/>
              </w:rPr>
              <w:t xml:space="preserve">pour préciser que </w:t>
            </w:r>
            <w:r w:rsidRPr="00A92CED">
              <w:rPr>
                <w:rFonts w:cstheme="minorHAnsi"/>
                <w:bCs/>
                <w:lang w:val="fr-CA"/>
              </w:rPr>
              <w:t>« lieu vulnérable </w:t>
            </w:r>
            <w:r w:rsidRPr="00A92CED">
              <w:rPr>
                <w:rFonts w:ascii="Calibri" w:hAnsi="Calibri" w:cs="Calibri"/>
                <w:bCs/>
                <w:lang w:val="fr-CA"/>
              </w:rPr>
              <w:t>»</w:t>
            </w:r>
            <w:r w:rsidR="00BA4BAD" w:rsidRPr="00A92CED">
              <w:rPr>
                <w:rFonts w:ascii="Calibri" w:hAnsi="Calibri" w:cs="Calibri"/>
                <w:bCs/>
                <w:lang w:val="fr-CA"/>
              </w:rPr>
              <w:t xml:space="preserve"> s</w:t>
            </w:r>
            <w:r w:rsidR="0030467D" w:rsidRPr="00A92CED">
              <w:rPr>
                <w:rFonts w:ascii="Calibri" w:hAnsi="Calibri" w:cs="Calibri"/>
                <w:bCs/>
                <w:lang w:val="fr-CA"/>
              </w:rPr>
              <w:t>’</w:t>
            </w:r>
            <w:r w:rsidR="00BA4BAD" w:rsidRPr="00A92CED">
              <w:rPr>
                <w:rFonts w:ascii="Calibri" w:hAnsi="Calibri" w:cs="Calibri"/>
                <w:bCs/>
                <w:lang w:val="fr-CA"/>
              </w:rPr>
              <w:t>entend de :</w:t>
            </w:r>
            <w:r w:rsidR="00381488" w:rsidRPr="00A92CED">
              <w:rPr>
                <w:bCs/>
                <w:lang w:val="fr-CA"/>
              </w:rPr>
              <w:t xml:space="preserve"> </w:t>
            </w:r>
          </w:p>
          <w:p w14:paraId="243563A2" w14:textId="0CFC9213" w:rsidR="00381488" w:rsidRPr="00A92CED" w:rsidRDefault="00BA4BAD" w:rsidP="00381488">
            <w:pPr>
              <w:ind w:left="720"/>
              <w:rPr>
                <w:lang w:val="fr-CA"/>
              </w:rPr>
            </w:pPr>
            <w:r w:rsidRPr="00A92CED">
              <w:rPr>
                <w:lang w:val="fr-CA"/>
              </w:rPr>
              <w:t>tout bâtiment ou lieu dans lequel des gens vivent, travaillent ou se rassemblent;</w:t>
            </w:r>
          </w:p>
          <w:p w14:paraId="2F3C1345" w14:textId="569099AF" w:rsidR="00381488" w:rsidRPr="00A92CED" w:rsidRDefault="00BA4BAD" w:rsidP="00381488">
            <w:pPr>
              <w:ind w:left="720"/>
              <w:rPr>
                <w:lang w:val="fr-CA"/>
              </w:rPr>
            </w:pPr>
            <w:r w:rsidRPr="00A92CED">
              <w:rPr>
                <w:lang w:val="fr-CA"/>
              </w:rPr>
              <w:t>toute route publique, tout sentier public, tout chemin de fer et toute autre infrastructure de transport;</w:t>
            </w:r>
          </w:p>
          <w:p w14:paraId="056DD576" w14:textId="20F5F3C6" w:rsidR="00381488" w:rsidRPr="00A92CED" w:rsidRDefault="00BA4BAD" w:rsidP="00381488">
            <w:pPr>
              <w:ind w:left="720"/>
              <w:rPr>
                <w:lang w:val="fr-CA"/>
              </w:rPr>
            </w:pPr>
            <w:r w:rsidRPr="00A92CED">
              <w:rPr>
                <w:lang w:val="fr-CA"/>
              </w:rPr>
              <w:t>tout pipeline, toute ligne de transmission d</w:t>
            </w:r>
            <w:r w:rsidR="0030467D" w:rsidRPr="00A92CED">
              <w:rPr>
                <w:lang w:val="fr-CA"/>
              </w:rPr>
              <w:t>’</w:t>
            </w:r>
            <w:r w:rsidRPr="00A92CED">
              <w:rPr>
                <w:lang w:val="fr-CA"/>
              </w:rPr>
              <w:t>énergie, toute infrastructure énergétique et toute infrastructure de communication;</w:t>
            </w:r>
            <w:r w:rsidR="00381488" w:rsidRPr="00A92CED">
              <w:rPr>
                <w:lang w:val="fr-CA"/>
              </w:rPr>
              <w:t xml:space="preserve"> </w:t>
            </w:r>
          </w:p>
          <w:p w14:paraId="4F5F378F" w14:textId="2EC2925C" w:rsidR="00FA05FB" w:rsidRPr="00A92CED" w:rsidRDefault="00BA4BAD" w:rsidP="00381488">
            <w:pPr>
              <w:ind w:left="720"/>
              <w:rPr>
                <w:rFonts w:ascii="Calibri" w:hAnsi="Calibri" w:cs="Calibri"/>
                <w:lang w:val="fr-CA"/>
              </w:rPr>
            </w:pPr>
            <w:r w:rsidRPr="00A92CED">
              <w:rPr>
                <w:rFonts w:ascii="Calibri" w:hAnsi="Calibri" w:cs="Calibri"/>
                <w:lang w:val="fr-CA"/>
              </w:rPr>
              <w:t>tout endroit où il est probable que soit stockée une matière qui augmente la probabilité d</w:t>
            </w:r>
            <w:r w:rsidR="0030467D" w:rsidRPr="00A92CED">
              <w:rPr>
                <w:rFonts w:ascii="Calibri" w:hAnsi="Calibri" w:cs="Calibri"/>
                <w:lang w:val="fr-CA"/>
              </w:rPr>
              <w:t>’</w:t>
            </w:r>
            <w:r w:rsidRPr="00A92CED">
              <w:rPr>
                <w:rFonts w:ascii="Calibri" w:hAnsi="Calibri" w:cs="Calibri"/>
                <w:lang w:val="fr-CA"/>
              </w:rPr>
              <w:t>un incendie ou d</w:t>
            </w:r>
            <w:r w:rsidR="0030467D" w:rsidRPr="00A92CED">
              <w:rPr>
                <w:rFonts w:ascii="Calibri" w:hAnsi="Calibri" w:cs="Calibri"/>
                <w:lang w:val="fr-CA"/>
              </w:rPr>
              <w:t>’</w:t>
            </w:r>
            <w:r w:rsidRPr="00A92CED">
              <w:rPr>
                <w:rFonts w:ascii="Calibri" w:hAnsi="Calibri" w:cs="Calibri"/>
                <w:lang w:val="fr-CA"/>
              </w:rPr>
              <w:t>une explosion.</w:t>
            </w:r>
          </w:p>
        </w:tc>
        <w:tc>
          <w:tcPr>
            <w:tcW w:w="3143" w:type="dxa"/>
            <w:gridSpan w:val="2"/>
          </w:tcPr>
          <w:p w14:paraId="12E341BE" w14:textId="2DF1191A" w:rsidR="00FA05FB" w:rsidRPr="00A92CED" w:rsidRDefault="00BA4BAD" w:rsidP="00E37311">
            <w:pPr>
              <w:rPr>
                <w:lang w:val="fr-CA"/>
              </w:rPr>
            </w:pPr>
            <w:r w:rsidRPr="00A92CED">
              <w:rPr>
                <w:rFonts w:cstheme="minorHAnsi"/>
                <w:lang w:val="fr-CA"/>
              </w:rPr>
              <w:t xml:space="preserve">Cet amendement proposé vise à </w:t>
            </w:r>
            <w:r w:rsidR="002D38EC" w:rsidRPr="00A92CED">
              <w:rPr>
                <w:rFonts w:cstheme="minorHAnsi"/>
                <w:lang w:val="fr-CA"/>
              </w:rPr>
              <w:t>inclure la fabrication souterraine dans la définition de « lieu vulnérable » afin d</w:t>
            </w:r>
            <w:r w:rsidR="0030467D" w:rsidRPr="00A92CED">
              <w:rPr>
                <w:rFonts w:cstheme="minorHAnsi"/>
                <w:lang w:val="fr-CA"/>
              </w:rPr>
              <w:t>’</w:t>
            </w:r>
            <w:r w:rsidR="002D38EC" w:rsidRPr="00A92CED">
              <w:rPr>
                <w:rFonts w:cstheme="minorHAnsi"/>
                <w:lang w:val="fr-CA"/>
              </w:rPr>
              <w:t>appuyer l</w:t>
            </w:r>
            <w:r w:rsidR="0030467D" w:rsidRPr="00A92CED">
              <w:rPr>
                <w:rFonts w:cstheme="minorHAnsi"/>
                <w:lang w:val="fr-CA"/>
              </w:rPr>
              <w:t>’</w:t>
            </w:r>
            <w:r w:rsidR="002D38EC" w:rsidRPr="00A92CED">
              <w:rPr>
                <w:rFonts w:cstheme="minorHAnsi"/>
                <w:lang w:val="fr-CA"/>
              </w:rPr>
              <w:t>amendement proposé au point </w:t>
            </w:r>
            <w:r w:rsidR="00E308FB" w:rsidRPr="00A92CED">
              <w:rPr>
                <w:rFonts w:cstheme="minorHAnsi"/>
                <w:lang w:val="fr-CA"/>
              </w:rPr>
              <w:t>48</w:t>
            </w:r>
            <w:r w:rsidR="002D38EC" w:rsidRPr="00A92CED">
              <w:rPr>
                <w:rFonts w:cstheme="minorHAnsi"/>
                <w:lang w:val="fr-CA"/>
              </w:rPr>
              <w:t xml:space="preserve"> du présent document de consultation, qui vise à reclasser les activités de fabrication souterraine de la section 3 à la section 1 de la partie 5. </w:t>
            </w:r>
          </w:p>
        </w:tc>
        <w:tc>
          <w:tcPr>
            <w:tcW w:w="3087" w:type="dxa"/>
          </w:tcPr>
          <w:p w14:paraId="1BD29B6A" w14:textId="77777777" w:rsidR="00FA05FB" w:rsidRPr="00A92CED" w:rsidRDefault="00FA05FB" w:rsidP="00E37311">
            <w:pPr>
              <w:rPr>
                <w:lang w:val="fr-CA"/>
              </w:rPr>
            </w:pPr>
          </w:p>
        </w:tc>
      </w:tr>
      <w:tr w:rsidR="00A92CED" w:rsidRPr="00A92CED" w14:paraId="2705BE6D" w14:textId="071CF9E3" w:rsidTr="00F47EB0">
        <w:tc>
          <w:tcPr>
            <w:tcW w:w="17147" w:type="dxa"/>
            <w:gridSpan w:val="6"/>
            <w:shd w:val="clear" w:color="auto" w:fill="D9D9D9" w:themeFill="background1" w:themeFillShade="D9"/>
          </w:tcPr>
          <w:p w14:paraId="7DAB3867" w14:textId="1EC0A50A" w:rsidR="00A352C5" w:rsidRPr="00A92CED" w:rsidRDefault="00A352C5" w:rsidP="009619AB">
            <w:pPr>
              <w:spacing w:before="60" w:after="60"/>
              <w:jc w:val="center"/>
              <w:rPr>
                <w:rFonts w:ascii="Arial" w:hAnsi="Arial" w:cs="Arial"/>
                <w:b/>
                <w:sz w:val="24"/>
                <w:szCs w:val="24"/>
                <w:lang w:val="fr-CA"/>
              </w:rPr>
            </w:pPr>
            <w:r w:rsidRPr="00A92CED">
              <w:rPr>
                <w:rFonts w:ascii="Arial" w:hAnsi="Arial" w:cs="Arial"/>
                <w:b/>
                <w:sz w:val="24"/>
                <w:szCs w:val="24"/>
                <w:lang w:val="fr-CA"/>
              </w:rPr>
              <w:t>PARTIE 3 – Autorisation et classification des explosifs</w:t>
            </w:r>
          </w:p>
        </w:tc>
      </w:tr>
      <w:tr w:rsidR="00A92CED" w:rsidRPr="00A92CED" w14:paraId="4FE1C7B6" w14:textId="2C9FB770" w:rsidTr="00E10233">
        <w:tc>
          <w:tcPr>
            <w:tcW w:w="3126" w:type="dxa"/>
          </w:tcPr>
          <w:p w14:paraId="70F92BB3" w14:textId="77777777" w:rsidR="00605D0A" w:rsidRPr="00A92CED" w:rsidRDefault="00605D0A" w:rsidP="00605D0A">
            <w:pPr>
              <w:pStyle w:val="ListParagraph"/>
              <w:numPr>
                <w:ilvl w:val="0"/>
                <w:numId w:val="1"/>
              </w:numPr>
              <w:rPr>
                <w:lang w:val="fr-CA"/>
              </w:rPr>
            </w:pPr>
          </w:p>
        </w:tc>
        <w:tc>
          <w:tcPr>
            <w:tcW w:w="3715" w:type="dxa"/>
          </w:tcPr>
          <w:p w14:paraId="2002ACEC" w14:textId="10B32E38" w:rsidR="00605D0A" w:rsidRPr="00A92CED" w:rsidRDefault="00605D0A" w:rsidP="00605D0A">
            <w:pPr>
              <w:rPr>
                <w:lang w:val="fr-CA"/>
              </w:rPr>
            </w:pPr>
            <w:r w:rsidRPr="00A92CED">
              <w:rPr>
                <w:b/>
                <w:lang w:val="fr-CA"/>
              </w:rPr>
              <w:t>25</w:t>
            </w:r>
            <w:r w:rsidRPr="00A92CED">
              <w:rPr>
                <w:lang w:val="fr-CA"/>
              </w:rPr>
              <w:t xml:space="preserve"> Malgré l</w:t>
            </w:r>
            <w:r w:rsidR="0030467D" w:rsidRPr="00A92CED">
              <w:rPr>
                <w:lang w:val="fr-CA"/>
              </w:rPr>
              <w:t>’</w:t>
            </w:r>
            <w:r w:rsidRPr="00A92CED">
              <w:rPr>
                <w:lang w:val="fr-CA"/>
              </w:rPr>
              <w:t>article 11, les *activités visant un explosif ci-après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 :</w:t>
            </w:r>
          </w:p>
          <w:p w14:paraId="220E5695" w14:textId="60BDFC64" w:rsidR="00605D0A" w:rsidRPr="00A92CED" w:rsidRDefault="00605D0A" w:rsidP="00605D0A">
            <w:pPr>
              <w:ind w:left="720"/>
              <w:rPr>
                <w:lang w:val="fr-CA"/>
              </w:rPr>
            </w:pPr>
            <w:r w:rsidRPr="00A92CED">
              <w:rPr>
                <w:lang w:val="fr-CA"/>
              </w:rPr>
              <w:t>a) la fabrication d</w:t>
            </w:r>
            <w:r w:rsidR="0030467D" w:rsidRPr="00A92CED">
              <w:rPr>
                <w:lang w:val="fr-CA"/>
              </w:rPr>
              <w:t>’</w:t>
            </w:r>
            <w:r w:rsidRPr="00A92CED">
              <w:rPr>
                <w:lang w:val="fr-CA"/>
              </w:rPr>
              <w:t>au plus 1 kg d</w:t>
            </w:r>
            <w:r w:rsidR="0030467D" w:rsidRPr="00A92CED">
              <w:rPr>
                <w:lang w:val="fr-CA"/>
              </w:rPr>
              <w:t>’</w:t>
            </w:r>
            <w:r w:rsidRPr="00A92CED">
              <w:rPr>
                <w:lang w:val="fr-CA"/>
              </w:rPr>
              <w:t>explosifs pour les besoins d</w:t>
            </w:r>
            <w:r w:rsidR="0030467D" w:rsidRPr="00A92CED">
              <w:rPr>
                <w:lang w:val="fr-CA"/>
              </w:rPr>
              <w:t>’</w:t>
            </w:r>
            <w:r w:rsidRPr="00A92CED">
              <w:rPr>
                <w:lang w:val="fr-CA"/>
              </w:rPr>
              <w:t>une expérience, d</w:t>
            </w:r>
            <w:r w:rsidR="0030467D" w:rsidRPr="00A92CED">
              <w:rPr>
                <w:lang w:val="fr-CA"/>
              </w:rPr>
              <w:t>’</w:t>
            </w:r>
            <w:r w:rsidRPr="00A92CED">
              <w:rPr>
                <w:lang w:val="fr-CA"/>
              </w:rPr>
              <w:t>une démonstration, d</w:t>
            </w:r>
            <w:r w:rsidR="0030467D" w:rsidRPr="00A92CED">
              <w:rPr>
                <w:lang w:val="fr-CA"/>
              </w:rPr>
              <w:t>’</w:t>
            </w:r>
            <w:r w:rsidRPr="00A92CED">
              <w:rPr>
                <w:lang w:val="fr-CA"/>
              </w:rPr>
              <w:t>un essai ou d</w:t>
            </w:r>
            <w:r w:rsidR="0030467D" w:rsidRPr="00A92CED">
              <w:rPr>
                <w:lang w:val="fr-CA"/>
              </w:rPr>
              <w:t>’</w:t>
            </w:r>
            <w:r w:rsidRPr="00A92CED">
              <w:rPr>
                <w:lang w:val="fr-CA"/>
              </w:rPr>
              <w:t>une analyse effectué à un établissement d</w:t>
            </w:r>
            <w:r w:rsidR="0030467D" w:rsidRPr="00A92CED">
              <w:rPr>
                <w:lang w:val="fr-CA"/>
              </w:rPr>
              <w:t>’</w:t>
            </w:r>
            <w:r w:rsidRPr="00A92CED">
              <w:rPr>
                <w:lang w:val="fr-CA"/>
              </w:rPr>
              <w:t>enseignement — notamment une école, un collège ou une université;</w:t>
            </w:r>
          </w:p>
        </w:tc>
        <w:tc>
          <w:tcPr>
            <w:tcW w:w="4076" w:type="dxa"/>
          </w:tcPr>
          <w:p w14:paraId="1117A53D" w14:textId="2B98DD5B" w:rsidR="00605D0A" w:rsidRPr="00A92CED" w:rsidRDefault="00605D0A" w:rsidP="00605D0A">
            <w:pPr>
              <w:rPr>
                <w:bCs/>
                <w:lang w:val="fr-CA"/>
              </w:rPr>
            </w:pPr>
            <w:r w:rsidRPr="00A92CED">
              <w:rPr>
                <w:bCs/>
                <w:lang w:val="fr-CA"/>
              </w:rPr>
              <w:t>Modifier l</w:t>
            </w:r>
            <w:r w:rsidR="0030467D" w:rsidRPr="00A92CED">
              <w:rPr>
                <w:bCs/>
                <w:lang w:val="fr-CA"/>
              </w:rPr>
              <w:t>’</w:t>
            </w:r>
            <w:r w:rsidRPr="00A92CED">
              <w:rPr>
                <w:bCs/>
                <w:lang w:val="fr-CA"/>
              </w:rPr>
              <w:t>alinéa a) de l</w:t>
            </w:r>
            <w:r w:rsidR="0030467D" w:rsidRPr="00A92CED">
              <w:rPr>
                <w:bCs/>
                <w:lang w:val="fr-CA"/>
              </w:rPr>
              <w:t>’</w:t>
            </w:r>
            <w:r w:rsidRPr="00A92CED">
              <w:rPr>
                <w:bCs/>
                <w:lang w:val="fr-CA"/>
              </w:rPr>
              <w:t>article 25 pour préciser que les activités visant un explosif ci-après peuvent être effectuées même si l</w:t>
            </w:r>
            <w:r w:rsidR="0030467D" w:rsidRPr="00A92CED">
              <w:rPr>
                <w:bCs/>
                <w:lang w:val="fr-CA"/>
              </w:rPr>
              <w:t>’</w:t>
            </w:r>
            <w:r w:rsidRPr="00A92CED">
              <w:rPr>
                <w:bCs/>
                <w:lang w:val="fr-CA"/>
              </w:rPr>
              <w:t>explosif n</w:t>
            </w:r>
            <w:r w:rsidR="0030467D" w:rsidRPr="00A92CED">
              <w:rPr>
                <w:bCs/>
                <w:lang w:val="fr-CA"/>
              </w:rPr>
              <w:t>’</w:t>
            </w:r>
            <w:r w:rsidRPr="00A92CED">
              <w:rPr>
                <w:bCs/>
                <w:lang w:val="fr-CA"/>
              </w:rPr>
              <w:t xml:space="preserve">est pas autorisé : </w:t>
            </w:r>
          </w:p>
          <w:p w14:paraId="1B1C62FB" w14:textId="6FB07499" w:rsidR="00605D0A" w:rsidRPr="00A92CED" w:rsidRDefault="00013418" w:rsidP="001E26FD">
            <w:pPr>
              <w:pStyle w:val="ListParagraph"/>
              <w:numPr>
                <w:ilvl w:val="0"/>
                <w:numId w:val="13"/>
              </w:numPr>
              <w:rPr>
                <w:rFonts w:ascii="Calibri" w:eastAsia="Times New Roman" w:hAnsi="Calibri" w:cs="Calibri"/>
                <w:lang w:val="fr-CA" w:eastAsia="en-CA"/>
              </w:rPr>
            </w:pPr>
            <w:r w:rsidRPr="00A92CED">
              <w:rPr>
                <w:rFonts w:ascii="Calibri" w:eastAsia="Times New Roman" w:hAnsi="Calibri" w:cs="Calibri"/>
                <w:lang w:val="fr-CA" w:eastAsia="en-CA"/>
              </w:rPr>
              <w:t>la fabrication</w:t>
            </w:r>
            <w:r w:rsidR="00053BAD" w:rsidRPr="00A92CED">
              <w:rPr>
                <w:rFonts w:ascii="Calibri" w:eastAsia="Times New Roman" w:hAnsi="Calibri" w:cs="Calibri"/>
                <w:lang w:val="fr-CA" w:eastAsia="en-CA"/>
              </w:rPr>
              <w:t xml:space="preserve"> et, </w:t>
            </w:r>
            <w:r w:rsidR="009B5F70" w:rsidRPr="00A92CED">
              <w:rPr>
                <w:rFonts w:ascii="Calibri" w:eastAsia="Times New Roman" w:hAnsi="Calibri" w:cs="Calibri"/>
                <w:lang w:val="fr-CA" w:eastAsia="en-CA"/>
              </w:rPr>
              <w:t>s</w:t>
            </w:r>
            <w:r w:rsidR="0030467D" w:rsidRPr="00A92CED">
              <w:rPr>
                <w:rFonts w:ascii="Calibri" w:eastAsia="Times New Roman" w:hAnsi="Calibri" w:cs="Calibri"/>
                <w:lang w:val="fr-CA" w:eastAsia="en-CA"/>
              </w:rPr>
              <w:t>’</w:t>
            </w:r>
            <w:r w:rsidR="009B5F70" w:rsidRPr="00A92CED">
              <w:rPr>
                <w:rFonts w:ascii="Calibri" w:eastAsia="Times New Roman" w:hAnsi="Calibri" w:cs="Calibri"/>
                <w:lang w:val="fr-CA" w:eastAsia="en-CA"/>
              </w:rPr>
              <w:t>il le faut</w:t>
            </w:r>
            <w:r w:rsidR="00053BAD" w:rsidRPr="00A92CED">
              <w:rPr>
                <w:rFonts w:ascii="Calibri" w:eastAsia="Times New Roman" w:hAnsi="Calibri" w:cs="Calibri"/>
                <w:lang w:val="fr-CA" w:eastAsia="en-CA"/>
              </w:rPr>
              <w:t>, la possession ou le stockage</w:t>
            </w:r>
            <w:r w:rsidRPr="00A92CED">
              <w:rPr>
                <w:rFonts w:ascii="Calibri" w:eastAsia="Times New Roman" w:hAnsi="Calibri" w:cs="Calibri"/>
                <w:lang w:val="fr-CA" w:eastAsia="en-CA"/>
              </w:rPr>
              <w:t xml:space="preserve"> d</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au plus 1 kg d</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explosifs pour les besoins d</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une expérience, d</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une démonstration, d</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un essai ou d</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 xml:space="preserve">une analyse effectué à un </w:t>
            </w:r>
            <w:r w:rsidR="00053BAD" w:rsidRPr="00A92CED">
              <w:rPr>
                <w:rFonts w:ascii="Calibri" w:eastAsia="Times New Roman" w:hAnsi="Calibri" w:cs="Calibri"/>
                <w:lang w:val="fr-CA" w:eastAsia="en-CA"/>
              </w:rPr>
              <w:t>établissement d</w:t>
            </w:r>
            <w:r w:rsidR="0030467D" w:rsidRPr="00A92CED">
              <w:rPr>
                <w:rFonts w:ascii="Calibri" w:eastAsia="Times New Roman" w:hAnsi="Calibri" w:cs="Calibri"/>
                <w:lang w:val="fr-CA" w:eastAsia="en-CA"/>
              </w:rPr>
              <w:t>’</w:t>
            </w:r>
            <w:r w:rsidR="00053BAD" w:rsidRPr="00A92CED">
              <w:rPr>
                <w:rFonts w:ascii="Calibri" w:eastAsia="Times New Roman" w:hAnsi="Calibri" w:cs="Calibri"/>
                <w:lang w:val="fr-CA" w:eastAsia="en-CA"/>
              </w:rPr>
              <w:t xml:space="preserve">enseignement – </w:t>
            </w:r>
            <w:r w:rsidR="00053BAD" w:rsidRPr="00A92CED">
              <w:rPr>
                <w:rFonts w:ascii="Calibri" w:eastAsia="Times New Roman" w:hAnsi="Calibri" w:cs="Calibri"/>
                <w:lang w:val="fr-CA" w:eastAsia="en-CA"/>
              </w:rPr>
              <w:lastRenderedPageBreak/>
              <w:t>notamment une école, un collège ou une université;</w:t>
            </w:r>
          </w:p>
        </w:tc>
        <w:tc>
          <w:tcPr>
            <w:tcW w:w="3143" w:type="dxa"/>
            <w:gridSpan w:val="2"/>
          </w:tcPr>
          <w:p w14:paraId="2B0DEA49" w14:textId="43A4C3F2" w:rsidR="00605D0A" w:rsidRPr="00A92CED" w:rsidRDefault="00F62BA5" w:rsidP="00605D0A">
            <w:pPr>
              <w:rPr>
                <w:rFonts w:ascii="Calibri" w:hAnsi="Calibri" w:cs="Calibri"/>
                <w:lang w:val="fr-CA"/>
              </w:rPr>
            </w:pPr>
            <w:r w:rsidRPr="00A92CED">
              <w:rPr>
                <w:lang w:val="fr-CA"/>
              </w:rPr>
              <w:lastRenderedPageBreak/>
              <w:t>Cet amendement proposé vise à clarifier les activités visant un explosif qui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w:t>
            </w:r>
          </w:p>
        </w:tc>
        <w:tc>
          <w:tcPr>
            <w:tcW w:w="3087" w:type="dxa"/>
          </w:tcPr>
          <w:p w14:paraId="064D0C72" w14:textId="77777777" w:rsidR="00605D0A" w:rsidRPr="00A92CED" w:rsidRDefault="00605D0A" w:rsidP="00605D0A">
            <w:pPr>
              <w:rPr>
                <w:rFonts w:ascii="Calibri" w:hAnsi="Calibri" w:cs="Calibri"/>
                <w:lang w:val="fr-CA"/>
              </w:rPr>
            </w:pPr>
          </w:p>
        </w:tc>
      </w:tr>
      <w:tr w:rsidR="00A92CED" w:rsidRPr="00A92CED" w14:paraId="6F71546E" w14:textId="54E33333" w:rsidTr="00E10233">
        <w:tc>
          <w:tcPr>
            <w:tcW w:w="3126" w:type="dxa"/>
          </w:tcPr>
          <w:p w14:paraId="68CE3513" w14:textId="77777777" w:rsidR="00FA05FB" w:rsidRPr="00A92CED" w:rsidRDefault="00FA05FB">
            <w:pPr>
              <w:pStyle w:val="ListParagraph"/>
              <w:numPr>
                <w:ilvl w:val="0"/>
                <w:numId w:val="1"/>
              </w:numPr>
              <w:rPr>
                <w:lang w:val="fr-CA"/>
              </w:rPr>
            </w:pPr>
          </w:p>
        </w:tc>
        <w:tc>
          <w:tcPr>
            <w:tcW w:w="3715" w:type="dxa"/>
          </w:tcPr>
          <w:p w14:paraId="480770E1" w14:textId="5184BBB4" w:rsidR="00FA05FB" w:rsidRPr="00A92CED" w:rsidRDefault="00FA05FB" w:rsidP="00C81833">
            <w:pPr>
              <w:rPr>
                <w:lang w:val="fr-CA"/>
              </w:rPr>
            </w:pPr>
            <w:r w:rsidRPr="00A92CED">
              <w:rPr>
                <w:b/>
                <w:lang w:val="fr-CA"/>
              </w:rPr>
              <w:t>25</w:t>
            </w:r>
            <w:r w:rsidRPr="00A92CED">
              <w:rPr>
                <w:lang w:val="fr-CA"/>
              </w:rPr>
              <w:t xml:space="preserve"> Malgré l</w:t>
            </w:r>
            <w:r w:rsidR="0030467D" w:rsidRPr="00A92CED">
              <w:rPr>
                <w:lang w:val="fr-CA"/>
              </w:rPr>
              <w:t>’</w:t>
            </w:r>
            <w:r w:rsidRPr="00A92CED">
              <w:rPr>
                <w:lang w:val="fr-CA"/>
              </w:rPr>
              <w:t>article 11, les *activités visant un explosif ci-après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 :</w:t>
            </w:r>
          </w:p>
          <w:p w14:paraId="49D701D4" w14:textId="71BAAFD9" w:rsidR="00FA05FB" w:rsidRPr="00A92CED" w:rsidRDefault="00FA05FB" w:rsidP="00C81833">
            <w:pPr>
              <w:ind w:left="720"/>
              <w:rPr>
                <w:lang w:val="fr-CA"/>
              </w:rPr>
            </w:pPr>
            <w:r w:rsidRPr="00A92CED">
              <w:rPr>
                <w:lang w:val="fr-CA"/>
              </w:rPr>
              <w:t>b) la fabrication d</w:t>
            </w:r>
            <w:r w:rsidR="0030467D" w:rsidRPr="00A92CED">
              <w:rPr>
                <w:lang w:val="fr-CA"/>
              </w:rPr>
              <w:t>’</w:t>
            </w:r>
            <w:r w:rsidRPr="00A92CED">
              <w:rPr>
                <w:lang w:val="fr-CA"/>
              </w:rPr>
              <w:t>au plus 5 kg d</w:t>
            </w:r>
            <w:r w:rsidR="0030467D" w:rsidRPr="00A92CED">
              <w:rPr>
                <w:lang w:val="fr-CA"/>
              </w:rPr>
              <w:t>’</w:t>
            </w:r>
            <w:r w:rsidRPr="00A92CED">
              <w:rPr>
                <w:lang w:val="fr-CA"/>
              </w:rPr>
              <w:t>explosifs pour les besoins d</w:t>
            </w:r>
            <w:r w:rsidR="0030467D" w:rsidRPr="00A92CED">
              <w:rPr>
                <w:lang w:val="fr-CA"/>
              </w:rPr>
              <w:t>’</w:t>
            </w:r>
            <w:r w:rsidRPr="00A92CED">
              <w:rPr>
                <w:lang w:val="fr-CA"/>
              </w:rPr>
              <w:t>une expérience, d</w:t>
            </w:r>
            <w:r w:rsidR="0030467D" w:rsidRPr="00A92CED">
              <w:rPr>
                <w:lang w:val="fr-CA"/>
              </w:rPr>
              <w:t>’</w:t>
            </w:r>
            <w:r w:rsidRPr="00A92CED">
              <w:rPr>
                <w:lang w:val="fr-CA"/>
              </w:rPr>
              <w:t>une démonstration, d</w:t>
            </w:r>
            <w:r w:rsidR="0030467D" w:rsidRPr="00A92CED">
              <w:rPr>
                <w:lang w:val="fr-CA"/>
              </w:rPr>
              <w:t>’</w:t>
            </w:r>
            <w:r w:rsidRPr="00A92CED">
              <w:rPr>
                <w:lang w:val="fr-CA"/>
              </w:rPr>
              <w:t>un essai ou d</w:t>
            </w:r>
            <w:r w:rsidR="0030467D" w:rsidRPr="00A92CED">
              <w:rPr>
                <w:lang w:val="fr-CA"/>
              </w:rPr>
              <w:t>’</w:t>
            </w:r>
            <w:r w:rsidRPr="00A92CED">
              <w:rPr>
                <w:lang w:val="fr-CA"/>
              </w:rPr>
              <w:t>une analyse effectué par un gouvernement ou un organisme d</w:t>
            </w:r>
            <w:r w:rsidR="0030467D" w:rsidRPr="00A92CED">
              <w:rPr>
                <w:lang w:val="fr-CA"/>
              </w:rPr>
              <w:t>’</w:t>
            </w:r>
            <w:r w:rsidRPr="00A92CED">
              <w:rPr>
                <w:lang w:val="fr-CA"/>
              </w:rPr>
              <w:t>application de la loi;</w:t>
            </w:r>
          </w:p>
        </w:tc>
        <w:tc>
          <w:tcPr>
            <w:tcW w:w="4076" w:type="dxa"/>
          </w:tcPr>
          <w:p w14:paraId="6FCF561F" w14:textId="0722E5BC" w:rsidR="00F62BA5" w:rsidRPr="00A92CED" w:rsidRDefault="00F62BA5" w:rsidP="00F62BA5">
            <w:pPr>
              <w:rPr>
                <w:rFonts w:ascii="Calibri" w:eastAsia="Times New Roman" w:hAnsi="Calibri" w:cs="Calibri"/>
                <w:lang w:val="fr-CA" w:eastAsia="en-CA"/>
              </w:rPr>
            </w:pPr>
            <w:r w:rsidRPr="00A92CED">
              <w:rPr>
                <w:rFonts w:ascii="Calibri" w:eastAsia="Times New Roman" w:hAnsi="Calibri" w:cs="Calibri"/>
                <w:lang w:val="fr-CA" w:eastAsia="en-CA"/>
              </w:rPr>
              <w:t>Modifier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alinéa b) de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article 25 pour préciser que les activités visant un explosif ci-après peuvent être effectuées même si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explosif n</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 xml:space="preserve">est pas autorisé : </w:t>
            </w:r>
          </w:p>
          <w:p w14:paraId="586DF961" w14:textId="51E848EE" w:rsidR="00FA05FB" w:rsidRPr="00A92CED" w:rsidRDefault="00F62BA5" w:rsidP="001E26FD">
            <w:pPr>
              <w:pStyle w:val="ListParagraph"/>
              <w:numPr>
                <w:ilvl w:val="0"/>
                <w:numId w:val="12"/>
              </w:numPr>
              <w:rPr>
                <w:rFonts w:ascii="Calibri" w:eastAsia="Times New Roman" w:hAnsi="Calibri" w:cs="Calibri"/>
                <w:lang w:val="fr-CA" w:eastAsia="en-CA"/>
              </w:rPr>
            </w:pPr>
            <w:r w:rsidRPr="00A92CED">
              <w:rPr>
                <w:rFonts w:ascii="Calibri" w:eastAsia="Times New Roman" w:hAnsi="Calibri" w:cs="Calibri"/>
                <w:lang w:val="fr-CA" w:eastAsia="en-CA"/>
              </w:rPr>
              <w:t xml:space="preserve">la fabrication et, </w:t>
            </w:r>
            <w:r w:rsidR="009B5F70" w:rsidRPr="00A92CED">
              <w:rPr>
                <w:rFonts w:ascii="Calibri" w:eastAsia="Times New Roman" w:hAnsi="Calibri" w:cs="Calibri"/>
                <w:lang w:val="fr-CA" w:eastAsia="en-CA"/>
              </w:rPr>
              <w:t>s</w:t>
            </w:r>
            <w:r w:rsidR="0030467D" w:rsidRPr="00A92CED">
              <w:rPr>
                <w:rFonts w:ascii="Calibri" w:eastAsia="Times New Roman" w:hAnsi="Calibri" w:cs="Calibri"/>
                <w:lang w:val="fr-CA" w:eastAsia="en-CA"/>
              </w:rPr>
              <w:t>’</w:t>
            </w:r>
            <w:r w:rsidR="009B5F70" w:rsidRPr="00A92CED">
              <w:rPr>
                <w:rFonts w:ascii="Calibri" w:eastAsia="Times New Roman" w:hAnsi="Calibri" w:cs="Calibri"/>
                <w:lang w:val="fr-CA" w:eastAsia="en-CA"/>
              </w:rPr>
              <w:t>il le faut</w:t>
            </w:r>
            <w:r w:rsidRPr="00A92CED">
              <w:rPr>
                <w:rFonts w:ascii="Calibri" w:eastAsia="Times New Roman" w:hAnsi="Calibri" w:cs="Calibri"/>
                <w:lang w:val="fr-CA" w:eastAsia="en-CA"/>
              </w:rPr>
              <w:t xml:space="preserve">, la possession ou le stockage </w:t>
            </w:r>
            <w:r w:rsidRPr="00A92CED">
              <w:rPr>
                <w:lang w:val="fr-CA"/>
              </w:rPr>
              <w:t>d</w:t>
            </w:r>
            <w:r w:rsidR="0030467D" w:rsidRPr="00A92CED">
              <w:rPr>
                <w:lang w:val="fr-CA"/>
              </w:rPr>
              <w:t>’</w:t>
            </w:r>
            <w:r w:rsidRPr="00A92CED">
              <w:rPr>
                <w:lang w:val="fr-CA"/>
              </w:rPr>
              <w:t>au plus 5 kg d</w:t>
            </w:r>
            <w:r w:rsidR="0030467D" w:rsidRPr="00A92CED">
              <w:rPr>
                <w:lang w:val="fr-CA"/>
              </w:rPr>
              <w:t>’</w:t>
            </w:r>
            <w:r w:rsidRPr="00A92CED">
              <w:rPr>
                <w:lang w:val="fr-CA"/>
              </w:rPr>
              <w:t>explosifs pour les besoins d</w:t>
            </w:r>
            <w:r w:rsidR="0030467D" w:rsidRPr="00A92CED">
              <w:rPr>
                <w:lang w:val="fr-CA"/>
              </w:rPr>
              <w:t>’</w:t>
            </w:r>
            <w:r w:rsidRPr="00A92CED">
              <w:rPr>
                <w:lang w:val="fr-CA"/>
              </w:rPr>
              <w:t>une expérience, d</w:t>
            </w:r>
            <w:r w:rsidR="0030467D" w:rsidRPr="00A92CED">
              <w:rPr>
                <w:lang w:val="fr-CA"/>
              </w:rPr>
              <w:t>’</w:t>
            </w:r>
            <w:r w:rsidRPr="00A92CED">
              <w:rPr>
                <w:lang w:val="fr-CA"/>
              </w:rPr>
              <w:t>une démonstration, d</w:t>
            </w:r>
            <w:r w:rsidR="0030467D" w:rsidRPr="00A92CED">
              <w:rPr>
                <w:lang w:val="fr-CA"/>
              </w:rPr>
              <w:t>’</w:t>
            </w:r>
            <w:r w:rsidRPr="00A92CED">
              <w:rPr>
                <w:lang w:val="fr-CA"/>
              </w:rPr>
              <w:t>un essai ou d</w:t>
            </w:r>
            <w:r w:rsidR="0030467D" w:rsidRPr="00A92CED">
              <w:rPr>
                <w:lang w:val="fr-CA"/>
              </w:rPr>
              <w:t>’</w:t>
            </w:r>
            <w:r w:rsidRPr="00A92CED">
              <w:rPr>
                <w:lang w:val="fr-CA"/>
              </w:rPr>
              <w:t>une analyse effectué par un gouvernement ou un organisme d</w:t>
            </w:r>
            <w:r w:rsidR="0030467D" w:rsidRPr="00A92CED">
              <w:rPr>
                <w:lang w:val="fr-CA"/>
              </w:rPr>
              <w:t>’</w:t>
            </w:r>
            <w:r w:rsidRPr="00A92CED">
              <w:rPr>
                <w:lang w:val="fr-CA"/>
              </w:rPr>
              <w:t>application de la loi;</w:t>
            </w:r>
          </w:p>
        </w:tc>
        <w:tc>
          <w:tcPr>
            <w:tcW w:w="3143" w:type="dxa"/>
            <w:gridSpan w:val="2"/>
          </w:tcPr>
          <w:p w14:paraId="0E04F680" w14:textId="556CD979" w:rsidR="00FA05FB" w:rsidRPr="00A92CED" w:rsidRDefault="00F62BA5" w:rsidP="00513D08">
            <w:pPr>
              <w:rPr>
                <w:rFonts w:ascii="Calibri" w:hAnsi="Calibri" w:cs="Calibri"/>
                <w:lang w:val="fr-CA"/>
              </w:rPr>
            </w:pPr>
            <w:r w:rsidRPr="00A92CED">
              <w:rPr>
                <w:lang w:val="fr-CA"/>
              </w:rPr>
              <w:t>Cet amendement proposé vise à clarifier les activités visant un explosif qui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w:t>
            </w:r>
          </w:p>
        </w:tc>
        <w:tc>
          <w:tcPr>
            <w:tcW w:w="3087" w:type="dxa"/>
          </w:tcPr>
          <w:p w14:paraId="2B3017CD" w14:textId="77777777" w:rsidR="00FA05FB" w:rsidRPr="00A92CED" w:rsidRDefault="00FA05FB" w:rsidP="00513D08">
            <w:pPr>
              <w:rPr>
                <w:rFonts w:ascii="Calibri" w:hAnsi="Calibri" w:cs="Calibri"/>
                <w:lang w:val="fr-CA"/>
              </w:rPr>
            </w:pPr>
          </w:p>
        </w:tc>
      </w:tr>
      <w:tr w:rsidR="00A92CED" w:rsidRPr="00A92CED" w14:paraId="519724A8" w14:textId="6F0DD901" w:rsidTr="00E10233">
        <w:tc>
          <w:tcPr>
            <w:tcW w:w="3126" w:type="dxa"/>
          </w:tcPr>
          <w:p w14:paraId="452D2BEC" w14:textId="77777777" w:rsidR="00FA05FB" w:rsidRPr="00A92CED" w:rsidRDefault="00FA05FB">
            <w:pPr>
              <w:pStyle w:val="ListParagraph"/>
              <w:numPr>
                <w:ilvl w:val="0"/>
                <w:numId w:val="1"/>
              </w:numPr>
              <w:rPr>
                <w:lang w:val="fr-CA"/>
              </w:rPr>
            </w:pPr>
          </w:p>
        </w:tc>
        <w:tc>
          <w:tcPr>
            <w:tcW w:w="3715" w:type="dxa"/>
          </w:tcPr>
          <w:p w14:paraId="56AAB9ED" w14:textId="16B93A71" w:rsidR="00FA05FB" w:rsidRPr="00A92CED" w:rsidRDefault="00FA05FB" w:rsidP="00C81833">
            <w:pPr>
              <w:rPr>
                <w:lang w:val="fr-CA"/>
              </w:rPr>
            </w:pPr>
            <w:r w:rsidRPr="00A92CED">
              <w:rPr>
                <w:b/>
                <w:lang w:val="fr-CA"/>
              </w:rPr>
              <w:t>25</w:t>
            </w:r>
            <w:r w:rsidRPr="00A92CED">
              <w:rPr>
                <w:lang w:val="fr-CA"/>
              </w:rPr>
              <w:t xml:space="preserve"> Malgré l</w:t>
            </w:r>
            <w:r w:rsidR="0030467D" w:rsidRPr="00A92CED">
              <w:rPr>
                <w:lang w:val="fr-CA"/>
              </w:rPr>
              <w:t>’</w:t>
            </w:r>
            <w:r w:rsidRPr="00A92CED">
              <w:rPr>
                <w:lang w:val="fr-CA"/>
              </w:rPr>
              <w:t>article 11, les *activités visant un explosif ci-après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 :</w:t>
            </w:r>
          </w:p>
          <w:p w14:paraId="70FAE28F" w14:textId="27090666" w:rsidR="00FA05FB" w:rsidRPr="00A92CED" w:rsidRDefault="00FA05FB" w:rsidP="00C81833">
            <w:pPr>
              <w:ind w:left="720"/>
              <w:rPr>
                <w:lang w:val="fr-CA"/>
              </w:rPr>
            </w:pPr>
            <w:r w:rsidRPr="00A92CED">
              <w:rPr>
                <w:lang w:val="fr-CA"/>
              </w:rPr>
              <w:t>c) la fabrication d</w:t>
            </w:r>
            <w:r w:rsidR="0030467D" w:rsidRPr="00A92CED">
              <w:rPr>
                <w:lang w:val="fr-CA"/>
              </w:rPr>
              <w:t>’</w:t>
            </w:r>
            <w:r w:rsidRPr="00A92CED">
              <w:rPr>
                <w:lang w:val="fr-CA"/>
              </w:rPr>
              <w:t>au plus 5 kg d</w:t>
            </w:r>
            <w:r w:rsidR="0030467D" w:rsidRPr="00A92CED">
              <w:rPr>
                <w:lang w:val="fr-CA"/>
              </w:rPr>
              <w:t>’</w:t>
            </w:r>
            <w:r w:rsidRPr="00A92CED">
              <w:rPr>
                <w:lang w:val="fr-CA"/>
              </w:rPr>
              <w:t>explosifs pour les besoins d</w:t>
            </w:r>
            <w:r w:rsidR="0030467D" w:rsidRPr="00A92CED">
              <w:rPr>
                <w:lang w:val="fr-CA"/>
              </w:rPr>
              <w:t>’</w:t>
            </w:r>
            <w:r w:rsidRPr="00A92CED">
              <w:rPr>
                <w:lang w:val="fr-CA"/>
              </w:rPr>
              <w:t>une expérience, d</w:t>
            </w:r>
            <w:r w:rsidR="0030467D" w:rsidRPr="00A92CED">
              <w:rPr>
                <w:lang w:val="fr-CA"/>
              </w:rPr>
              <w:t>’</w:t>
            </w:r>
            <w:r w:rsidRPr="00A92CED">
              <w:rPr>
                <w:lang w:val="fr-CA"/>
              </w:rPr>
              <w:t>un essai ou d</w:t>
            </w:r>
            <w:r w:rsidR="0030467D" w:rsidRPr="00A92CED">
              <w:rPr>
                <w:lang w:val="fr-CA"/>
              </w:rPr>
              <w:t>’</w:t>
            </w:r>
            <w:r w:rsidRPr="00A92CED">
              <w:rPr>
                <w:lang w:val="fr-CA"/>
              </w:rPr>
              <w:t>une analyse effectué dans des laboratoires privés ou commerciaux;</w:t>
            </w:r>
          </w:p>
        </w:tc>
        <w:tc>
          <w:tcPr>
            <w:tcW w:w="4076" w:type="dxa"/>
          </w:tcPr>
          <w:p w14:paraId="309F7F60" w14:textId="441B8B30" w:rsidR="00F62BA5" w:rsidRPr="00A92CED" w:rsidRDefault="00F62BA5" w:rsidP="00F62BA5">
            <w:pPr>
              <w:rPr>
                <w:rFonts w:ascii="Calibri" w:eastAsia="Times New Roman" w:hAnsi="Calibri" w:cs="Calibri"/>
                <w:lang w:val="fr-CA" w:eastAsia="en-CA"/>
              </w:rPr>
            </w:pPr>
            <w:r w:rsidRPr="00A92CED">
              <w:rPr>
                <w:rFonts w:ascii="Calibri" w:eastAsia="Times New Roman" w:hAnsi="Calibri" w:cs="Calibri"/>
                <w:lang w:val="fr-CA" w:eastAsia="en-CA"/>
              </w:rPr>
              <w:t>Modifier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alinéa c) de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article 25 pour préciser que les activités visant un explosif ci-après peuvent être effectuées même si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explosif n</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 xml:space="preserve">est pas autorisé : </w:t>
            </w:r>
          </w:p>
          <w:p w14:paraId="63D28261" w14:textId="2E3895B8" w:rsidR="00FA05FB" w:rsidRPr="00A92CED" w:rsidRDefault="00F62BA5" w:rsidP="001E26FD">
            <w:pPr>
              <w:pStyle w:val="ListParagraph"/>
              <w:numPr>
                <w:ilvl w:val="0"/>
                <w:numId w:val="11"/>
              </w:numPr>
              <w:rPr>
                <w:rFonts w:ascii="Calibri" w:eastAsia="Times New Roman" w:hAnsi="Calibri" w:cs="Calibri"/>
                <w:lang w:val="fr-CA" w:eastAsia="en-CA"/>
              </w:rPr>
            </w:pPr>
            <w:r w:rsidRPr="00A92CED">
              <w:rPr>
                <w:rFonts w:ascii="Calibri" w:eastAsia="Times New Roman" w:hAnsi="Calibri" w:cs="Calibri"/>
                <w:lang w:val="fr-CA" w:eastAsia="en-CA"/>
              </w:rPr>
              <w:t xml:space="preserve">la fabrication et, </w:t>
            </w:r>
            <w:r w:rsidR="009B5F70" w:rsidRPr="00A92CED">
              <w:rPr>
                <w:rFonts w:ascii="Calibri" w:eastAsia="Times New Roman" w:hAnsi="Calibri" w:cs="Calibri"/>
                <w:lang w:val="fr-CA" w:eastAsia="en-CA"/>
              </w:rPr>
              <w:t>s</w:t>
            </w:r>
            <w:r w:rsidR="0030467D" w:rsidRPr="00A92CED">
              <w:rPr>
                <w:rFonts w:ascii="Calibri" w:eastAsia="Times New Roman" w:hAnsi="Calibri" w:cs="Calibri"/>
                <w:lang w:val="fr-CA" w:eastAsia="en-CA"/>
              </w:rPr>
              <w:t>’</w:t>
            </w:r>
            <w:r w:rsidR="009B5F70" w:rsidRPr="00A92CED">
              <w:rPr>
                <w:rFonts w:ascii="Calibri" w:eastAsia="Times New Roman" w:hAnsi="Calibri" w:cs="Calibri"/>
                <w:lang w:val="fr-CA" w:eastAsia="en-CA"/>
              </w:rPr>
              <w:t>il le faut</w:t>
            </w:r>
            <w:r w:rsidRPr="00A92CED">
              <w:rPr>
                <w:rFonts w:ascii="Calibri" w:eastAsia="Times New Roman" w:hAnsi="Calibri" w:cs="Calibri"/>
                <w:lang w:val="fr-CA" w:eastAsia="en-CA"/>
              </w:rPr>
              <w:t xml:space="preserve">, la possession ou le stockage </w:t>
            </w:r>
            <w:r w:rsidRPr="00A92CED">
              <w:rPr>
                <w:lang w:val="fr-CA"/>
              </w:rPr>
              <w:t>d</w:t>
            </w:r>
            <w:r w:rsidR="0030467D" w:rsidRPr="00A92CED">
              <w:rPr>
                <w:lang w:val="fr-CA"/>
              </w:rPr>
              <w:t>’</w:t>
            </w:r>
            <w:r w:rsidRPr="00A92CED">
              <w:rPr>
                <w:lang w:val="fr-CA"/>
              </w:rPr>
              <w:t>au plus 5 kg d</w:t>
            </w:r>
            <w:r w:rsidR="0030467D" w:rsidRPr="00A92CED">
              <w:rPr>
                <w:lang w:val="fr-CA"/>
              </w:rPr>
              <w:t>’</w:t>
            </w:r>
            <w:r w:rsidRPr="00A92CED">
              <w:rPr>
                <w:lang w:val="fr-CA"/>
              </w:rPr>
              <w:t>explosifs pour les besoins d</w:t>
            </w:r>
            <w:r w:rsidR="0030467D" w:rsidRPr="00A92CED">
              <w:rPr>
                <w:lang w:val="fr-CA"/>
              </w:rPr>
              <w:t>’</w:t>
            </w:r>
            <w:r w:rsidRPr="00A92CED">
              <w:rPr>
                <w:lang w:val="fr-CA"/>
              </w:rPr>
              <w:t>une expérience, d</w:t>
            </w:r>
            <w:r w:rsidR="0030467D" w:rsidRPr="00A92CED">
              <w:rPr>
                <w:lang w:val="fr-CA"/>
              </w:rPr>
              <w:t>’</w:t>
            </w:r>
            <w:r w:rsidRPr="00A92CED">
              <w:rPr>
                <w:lang w:val="fr-CA"/>
              </w:rPr>
              <w:t>un essai ou d</w:t>
            </w:r>
            <w:r w:rsidR="0030467D" w:rsidRPr="00A92CED">
              <w:rPr>
                <w:lang w:val="fr-CA"/>
              </w:rPr>
              <w:t>’</w:t>
            </w:r>
            <w:r w:rsidRPr="00A92CED">
              <w:rPr>
                <w:lang w:val="fr-CA"/>
              </w:rPr>
              <w:t>une analyse effectué dans des laboratoires privés ou commerciaux;</w:t>
            </w:r>
          </w:p>
        </w:tc>
        <w:tc>
          <w:tcPr>
            <w:tcW w:w="3143" w:type="dxa"/>
            <w:gridSpan w:val="2"/>
          </w:tcPr>
          <w:p w14:paraId="1DE0BBF3" w14:textId="410A6F0F" w:rsidR="00FA05FB" w:rsidRPr="00A92CED" w:rsidRDefault="00F62BA5" w:rsidP="00513D08">
            <w:pPr>
              <w:rPr>
                <w:rFonts w:ascii="Calibri" w:hAnsi="Calibri" w:cs="Calibri"/>
                <w:lang w:val="fr-CA"/>
              </w:rPr>
            </w:pPr>
            <w:r w:rsidRPr="00A92CED">
              <w:rPr>
                <w:lang w:val="fr-CA"/>
              </w:rPr>
              <w:t>Cet amendement proposé vise à clarifier les activités visant un explosif qui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w:t>
            </w:r>
          </w:p>
        </w:tc>
        <w:tc>
          <w:tcPr>
            <w:tcW w:w="3087" w:type="dxa"/>
          </w:tcPr>
          <w:p w14:paraId="014AEAC9" w14:textId="77777777" w:rsidR="00FA05FB" w:rsidRPr="00A92CED" w:rsidRDefault="00FA05FB" w:rsidP="00513D08">
            <w:pPr>
              <w:rPr>
                <w:rFonts w:ascii="Calibri" w:hAnsi="Calibri" w:cs="Calibri"/>
                <w:lang w:val="fr-CA"/>
              </w:rPr>
            </w:pPr>
          </w:p>
        </w:tc>
      </w:tr>
      <w:tr w:rsidR="00A92CED" w:rsidRPr="00A92CED" w14:paraId="372BDED6" w14:textId="321DD865" w:rsidTr="00E10233">
        <w:tc>
          <w:tcPr>
            <w:tcW w:w="3126" w:type="dxa"/>
          </w:tcPr>
          <w:p w14:paraId="2E661088" w14:textId="77777777" w:rsidR="00FA05FB" w:rsidRPr="00A92CED" w:rsidRDefault="00FA05FB">
            <w:pPr>
              <w:pStyle w:val="ListParagraph"/>
              <w:numPr>
                <w:ilvl w:val="0"/>
                <w:numId w:val="1"/>
              </w:numPr>
              <w:rPr>
                <w:lang w:val="fr-CA"/>
              </w:rPr>
            </w:pPr>
          </w:p>
        </w:tc>
        <w:tc>
          <w:tcPr>
            <w:tcW w:w="3715" w:type="dxa"/>
          </w:tcPr>
          <w:p w14:paraId="6EAB8F56" w14:textId="6E5D1317" w:rsidR="00FA05FB" w:rsidRPr="00A92CED" w:rsidRDefault="00FA05FB" w:rsidP="00C81833">
            <w:pPr>
              <w:rPr>
                <w:lang w:val="fr-CA"/>
              </w:rPr>
            </w:pPr>
            <w:r w:rsidRPr="00A92CED">
              <w:rPr>
                <w:b/>
                <w:lang w:val="fr-CA"/>
              </w:rPr>
              <w:t>25</w:t>
            </w:r>
            <w:r w:rsidRPr="00A92CED">
              <w:rPr>
                <w:lang w:val="fr-CA"/>
              </w:rPr>
              <w:t xml:space="preserve"> Malgré l</w:t>
            </w:r>
            <w:r w:rsidR="0030467D" w:rsidRPr="00A92CED">
              <w:rPr>
                <w:lang w:val="fr-CA"/>
              </w:rPr>
              <w:t>’</w:t>
            </w:r>
            <w:r w:rsidRPr="00A92CED">
              <w:rPr>
                <w:lang w:val="fr-CA"/>
              </w:rPr>
              <w:t>article 11, les *activités visant un explosif ci-après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 :</w:t>
            </w:r>
          </w:p>
          <w:p w14:paraId="1C950088" w14:textId="5732DDFB" w:rsidR="00FA05FB" w:rsidRPr="00A92CED" w:rsidRDefault="00FA05FB" w:rsidP="00C81833">
            <w:pPr>
              <w:ind w:left="720"/>
              <w:rPr>
                <w:lang w:val="fr-CA"/>
              </w:rPr>
            </w:pPr>
            <w:r w:rsidRPr="00A92CED">
              <w:rPr>
                <w:lang w:val="fr-CA"/>
              </w:rPr>
              <w:t>d) la fabrication de charges de poudre noire à des fins cérémoniales;</w:t>
            </w:r>
          </w:p>
        </w:tc>
        <w:tc>
          <w:tcPr>
            <w:tcW w:w="4076" w:type="dxa"/>
          </w:tcPr>
          <w:p w14:paraId="44CAD862" w14:textId="08DBD01B" w:rsidR="00F62BA5" w:rsidRPr="00A92CED" w:rsidRDefault="00F62BA5" w:rsidP="00F62BA5">
            <w:pPr>
              <w:rPr>
                <w:rFonts w:ascii="Calibri" w:eastAsia="Times New Roman" w:hAnsi="Calibri" w:cs="Calibri"/>
                <w:lang w:val="fr-CA" w:eastAsia="en-CA"/>
              </w:rPr>
            </w:pPr>
            <w:r w:rsidRPr="00A92CED">
              <w:rPr>
                <w:rFonts w:ascii="Calibri" w:eastAsia="Times New Roman" w:hAnsi="Calibri" w:cs="Calibri"/>
                <w:lang w:val="fr-CA" w:eastAsia="en-CA"/>
              </w:rPr>
              <w:t>Modifier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alinéa d) de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article 25 pour préciser que les activités visant un explosif ci-après peuvent être effectuées même si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explosif n</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 xml:space="preserve">est pas autorisé : </w:t>
            </w:r>
          </w:p>
          <w:p w14:paraId="1B42340E" w14:textId="5C149984" w:rsidR="00FA05FB" w:rsidRPr="00A92CED" w:rsidRDefault="00F62BA5" w:rsidP="001E26FD">
            <w:pPr>
              <w:pStyle w:val="ListParagraph"/>
              <w:numPr>
                <w:ilvl w:val="0"/>
                <w:numId w:val="10"/>
              </w:numPr>
              <w:rPr>
                <w:rFonts w:ascii="Calibri" w:eastAsia="Times New Roman" w:hAnsi="Calibri" w:cs="Calibri"/>
                <w:lang w:val="fr-CA" w:eastAsia="en-CA"/>
              </w:rPr>
            </w:pPr>
            <w:r w:rsidRPr="00A92CED">
              <w:rPr>
                <w:rFonts w:ascii="Calibri" w:eastAsia="Times New Roman" w:hAnsi="Calibri" w:cs="Calibri"/>
                <w:lang w:val="fr-CA" w:eastAsia="en-CA"/>
              </w:rPr>
              <w:t xml:space="preserve">la fabrication et, </w:t>
            </w:r>
            <w:r w:rsidR="009B5F70" w:rsidRPr="00A92CED">
              <w:rPr>
                <w:rFonts w:ascii="Calibri" w:eastAsia="Times New Roman" w:hAnsi="Calibri" w:cs="Calibri"/>
                <w:lang w:val="fr-CA" w:eastAsia="en-CA"/>
              </w:rPr>
              <w:t>s</w:t>
            </w:r>
            <w:r w:rsidR="0030467D" w:rsidRPr="00A92CED">
              <w:rPr>
                <w:rFonts w:ascii="Calibri" w:eastAsia="Times New Roman" w:hAnsi="Calibri" w:cs="Calibri"/>
                <w:lang w:val="fr-CA" w:eastAsia="en-CA"/>
              </w:rPr>
              <w:t>’</w:t>
            </w:r>
            <w:r w:rsidR="009B5F70" w:rsidRPr="00A92CED">
              <w:rPr>
                <w:rFonts w:ascii="Calibri" w:eastAsia="Times New Roman" w:hAnsi="Calibri" w:cs="Calibri"/>
                <w:lang w:val="fr-CA" w:eastAsia="en-CA"/>
              </w:rPr>
              <w:t>il le faut</w:t>
            </w:r>
            <w:r w:rsidRPr="00A92CED">
              <w:rPr>
                <w:rFonts w:ascii="Calibri" w:eastAsia="Times New Roman" w:hAnsi="Calibri" w:cs="Calibri"/>
                <w:lang w:val="fr-CA" w:eastAsia="en-CA"/>
              </w:rPr>
              <w:t xml:space="preserve">, la possession, le stockage, le transport ou la livraison </w:t>
            </w:r>
            <w:r w:rsidRPr="00A92CED">
              <w:rPr>
                <w:lang w:val="fr-CA"/>
              </w:rPr>
              <w:t xml:space="preserve">de </w:t>
            </w:r>
            <w:r w:rsidRPr="00A92CED">
              <w:rPr>
                <w:lang w:val="fr-CA"/>
              </w:rPr>
              <w:lastRenderedPageBreak/>
              <w:t>charges de poudre noire à des fins cérémoniales;</w:t>
            </w:r>
          </w:p>
        </w:tc>
        <w:tc>
          <w:tcPr>
            <w:tcW w:w="3143" w:type="dxa"/>
            <w:gridSpan w:val="2"/>
          </w:tcPr>
          <w:p w14:paraId="55D3BDF9" w14:textId="50E7E5A4" w:rsidR="00FA05FB" w:rsidRPr="00A92CED" w:rsidRDefault="00F62BA5" w:rsidP="00513D08">
            <w:pPr>
              <w:rPr>
                <w:rFonts w:ascii="Calibri" w:hAnsi="Calibri" w:cs="Calibri"/>
                <w:lang w:val="fr-CA"/>
              </w:rPr>
            </w:pPr>
            <w:r w:rsidRPr="00A92CED">
              <w:rPr>
                <w:lang w:val="fr-CA"/>
              </w:rPr>
              <w:lastRenderedPageBreak/>
              <w:t>Cet amendement proposé vise à clarifier les activités visant un explosif qui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w:t>
            </w:r>
          </w:p>
        </w:tc>
        <w:tc>
          <w:tcPr>
            <w:tcW w:w="3087" w:type="dxa"/>
          </w:tcPr>
          <w:p w14:paraId="3E035716" w14:textId="77777777" w:rsidR="00FA05FB" w:rsidRPr="00A92CED" w:rsidRDefault="00FA05FB" w:rsidP="00513D08">
            <w:pPr>
              <w:rPr>
                <w:rFonts w:ascii="Calibri" w:hAnsi="Calibri" w:cs="Calibri"/>
                <w:lang w:val="fr-CA"/>
              </w:rPr>
            </w:pPr>
          </w:p>
        </w:tc>
      </w:tr>
      <w:tr w:rsidR="00A92CED" w:rsidRPr="00A92CED" w14:paraId="46DBC837" w14:textId="2130B568" w:rsidTr="00E10233">
        <w:tc>
          <w:tcPr>
            <w:tcW w:w="3126" w:type="dxa"/>
          </w:tcPr>
          <w:p w14:paraId="174C61B3" w14:textId="77777777" w:rsidR="00FA05FB" w:rsidRPr="00A92CED" w:rsidRDefault="00FA05FB">
            <w:pPr>
              <w:pStyle w:val="ListParagraph"/>
              <w:numPr>
                <w:ilvl w:val="0"/>
                <w:numId w:val="1"/>
              </w:numPr>
              <w:rPr>
                <w:lang w:val="fr-CA"/>
              </w:rPr>
            </w:pPr>
          </w:p>
        </w:tc>
        <w:tc>
          <w:tcPr>
            <w:tcW w:w="3715" w:type="dxa"/>
          </w:tcPr>
          <w:p w14:paraId="46A6D911" w14:textId="7425AE27" w:rsidR="00FA05FB" w:rsidRPr="00A92CED" w:rsidRDefault="00FA05FB" w:rsidP="00C81833">
            <w:pPr>
              <w:rPr>
                <w:lang w:val="fr-CA"/>
              </w:rPr>
            </w:pPr>
            <w:r w:rsidRPr="00A92CED">
              <w:rPr>
                <w:b/>
                <w:lang w:val="fr-CA"/>
              </w:rPr>
              <w:t>25</w:t>
            </w:r>
            <w:r w:rsidRPr="00A92CED">
              <w:rPr>
                <w:lang w:val="fr-CA"/>
              </w:rPr>
              <w:t xml:space="preserve"> Malgré l</w:t>
            </w:r>
            <w:r w:rsidR="0030467D" w:rsidRPr="00A92CED">
              <w:rPr>
                <w:lang w:val="fr-CA"/>
              </w:rPr>
              <w:t>’</w:t>
            </w:r>
            <w:r w:rsidRPr="00A92CED">
              <w:rPr>
                <w:lang w:val="fr-CA"/>
              </w:rPr>
              <w:t>article 11, les *activités visant un explosif ci-après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 :</w:t>
            </w:r>
          </w:p>
          <w:p w14:paraId="684CD662" w14:textId="48663E70" w:rsidR="00FA05FB" w:rsidRPr="00A92CED" w:rsidRDefault="00FA05FB" w:rsidP="00C81833">
            <w:pPr>
              <w:ind w:left="720"/>
              <w:rPr>
                <w:lang w:val="fr-CA"/>
              </w:rPr>
            </w:pPr>
            <w:r w:rsidRPr="00A92CED">
              <w:rPr>
                <w:lang w:val="fr-CA"/>
              </w:rPr>
              <w:t>e) la fabrication de *cartouches pour armes de petit calibre ou de cartouches à poudre noire pour un usage personnel;</w:t>
            </w:r>
          </w:p>
        </w:tc>
        <w:tc>
          <w:tcPr>
            <w:tcW w:w="4076" w:type="dxa"/>
          </w:tcPr>
          <w:p w14:paraId="3AEA2861" w14:textId="003349E3" w:rsidR="00F62BA5" w:rsidRPr="00A92CED" w:rsidRDefault="00F62BA5" w:rsidP="00F62BA5">
            <w:pPr>
              <w:rPr>
                <w:rFonts w:ascii="Calibri" w:eastAsia="Times New Roman" w:hAnsi="Calibri" w:cs="Calibri"/>
                <w:lang w:val="fr-CA" w:eastAsia="en-CA"/>
              </w:rPr>
            </w:pPr>
            <w:r w:rsidRPr="00A92CED">
              <w:rPr>
                <w:rFonts w:ascii="Calibri" w:eastAsia="Times New Roman" w:hAnsi="Calibri" w:cs="Calibri"/>
                <w:lang w:val="fr-CA" w:eastAsia="en-CA"/>
              </w:rPr>
              <w:t>Modifier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alinéa e) de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article 25 pour préciser que les activités visant un explosif ci-après peuvent être effectuées même si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explosif n</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 xml:space="preserve">est pas autorisé : </w:t>
            </w:r>
          </w:p>
          <w:p w14:paraId="66C95CF1" w14:textId="68B301BF" w:rsidR="00FA05FB" w:rsidRPr="00A92CED" w:rsidRDefault="00F62BA5" w:rsidP="001E26FD">
            <w:pPr>
              <w:pStyle w:val="ListParagraph"/>
              <w:numPr>
                <w:ilvl w:val="0"/>
                <w:numId w:val="9"/>
              </w:numPr>
              <w:rPr>
                <w:rFonts w:ascii="Calibri" w:eastAsia="Times New Roman" w:hAnsi="Calibri" w:cs="Calibri"/>
                <w:lang w:val="fr-CA" w:eastAsia="en-CA"/>
              </w:rPr>
            </w:pPr>
            <w:r w:rsidRPr="00A92CED">
              <w:rPr>
                <w:rFonts w:ascii="Calibri" w:eastAsia="Times New Roman" w:hAnsi="Calibri" w:cs="Calibri"/>
                <w:lang w:val="fr-CA" w:eastAsia="en-CA"/>
              </w:rPr>
              <w:t xml:space="preserve">la fabrication et, </w:t>
            </w:r>
            <w:r w:rsidR="009B5F70" w:rsidRPr="00A92CED">
              <w:rPr>
                <w:rFonts w:ascii="Calibri" w:eastAsia="Times New Roman" w:hAnsi="Calibri" w:cs="Calibri"/>
                <w:lang w:val="fr-CA" w:eastAsia="en-CA"/>
              </w:rPr>
              <w:t>s</w:t>
            </w:r>
            <w:r w:rsidR="0030467D" w:rsidRPr="00A92CED">
              <w:rPr>
                <w:rFonts w:ascii="Calibri" w:eastAsia="Times New Roman" w:hAnsi="Calibri" w:cs="Calibri"/>
                <w:lang w:val="fr-CA" w:eastAsia="en-CA"/>
              </w:rPr>
              <w:t>’</w:t>
            </w:r>
            <w:r w:rsidR="009B5F70" w:rsidRPr="00A92CED">
              <w:rPr>
                <w:rFonts w:ascii="Calibri" w:eastAsia="Times New Roman" w:hAnsi="Calibri" w:cs="Calibri"/>
                <w:lang w:val="fr-CA" w:eastAsia="en-CA"/>
              </w:rPr>
              <w:t>il le faut,</w:t>
            </w:r>
            <w:r w:rsidRPr="00A92CED">
              <w:rPr>
                <w:rFonts w:ascii="Calibri" w:eastAsia="Times New Roman" w:hAnsi="Calibri" w:cs="Calibri"/>
                <w:lang w:val="fr-CA" w:eastAsia="en-CA"/>
              </w:rPr>
              <w:t xml:space="preserve"> la possession, le stockage, le transport ou la livraison </w:t>
            </w:r>
            <w:r w:rsidRPr="00A92CED">
              <w:rPr>
                <w:lang w:val="fr-CA"/>
              </w:rPr>
              <w:t>de cartouches pour armes de petit calibre ou de cartouches à poudre noire pour un usage personnel;</w:t>
            </w:r>
          </w:p>
        </w:tc>
        <w:tc>
          <w:tcPr>
            <w:tcW w:w="3143" w:type="dxa"/>
            <w:gridSpan w:val="2"/>
          </w:tcPr>
          <w:p w14:paraId="55FF869B" w14:textId="5ABEFF9E" w:rsidR="00FA05FB" w:rsidRPr="00A92CED" w:rsidRDefault="00F62BA5" w:rsidP="00513D08">
            <w:pPr>
              <w:rPr>
                <w:rFonts w:ascii="Calibri" w:hAnsi="Calibri" w:cs="Calibri"/>
                <w:lang w:val="fr-CA"/>
              </w:rPr>
            </w:pPr>
            <w:r w:rsidRPr="00A92CED">
              <w:rPr>
                <w:lang w:val="fr-CA"/>
              </w:rPr>
              <w:t>Cet amendement proposé vise à clarifier les activités visant un explosif qui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w:t>
            </w:r>
          </w:p>
        </w:tc>
        <w:tc>
          <w:tcPr>
            <w:tcW w:w="3087" w:type="dxa"/>
          </w:tcPr>
          <w:p w14:paraId="64AC20CF" w14:textId="77777777" w:rsidR="00FA05FB" w:rsidRPr="00A92CED" w:rsidRDefault="00FA05FB" w:rsidP="00513D08">
            <w:pPr>
              <w:rPr>
                <w:rFonts w:ascii="Calibri" w:hAnsi="Calibri" w:cs="Calibri"/>
                <w:lang w:val="fr-CA"/>
              </w:rPr>
            </w:pPr>
          </w:p>
        </w:tc>
      </w:tr>
      <w:tr w:rsidR="00A92CED" w:rsidRPr="00A92CED" w14:paraId="3A1E9963" w14:textId="3A7390B9" w:rsidTr="00E10233">
        <w:tc>
          <w:tcPr>
            <w:tcW w:w="3126" w:type="dxa"/>
          </w:tcPr>
          <w:p w14:paraId="789CD2FF" w14:textId="77777777" w:rsidR="00FA05FB" w:rsidRPr="00A92CED" w:rsidRDefault="00FA05FB">
            <w:pPr>
              <w:pStyle w:val="ListParagraph"/>
              <w:numPr>
                <w:ilvl w:val="0"/>
                <w:numId w:val="1"/>
              </w:numPr>
              <w:rPr>
                <w:lang w:val="fr-CA"/>
              </w:rPr>
            </w:pPr>
          </w:p>
        </w:tc>
        <w:tc>
          <w:tcPr>
            <w:tcW w:w="3715" w:type="dxa"/>
          </w:tcPr>
          <w:p w14:paraId="09E240B7" w14:textId="4C2395A9" w:rsidR="00FA05FB" w:rsidRPr="00A92CED" w:rsidRDefault="00FA05FB" w:rsidP="00C81833">
            <w:pPr>
              <w:rPr>
                <w:lang w:val="fr-CA"/>
              </w:rPr>
            </w:pPr>
            <w:r w:rsidRPr="00A92CED">
              <w:rPr>
                <w:b/>
                <w:lang w:val="fr-CA"/>
              </w:rPr>
              <w:t>25</w:t>
            </w:r>
            <w:r w:rsidRPr="00A92CED">
              <w:rPr>
                <w:lang w:val="fr-CA"/>
              </w:rPr>
              <w:t xml:space="preserve"> Malgré l</w:t>
            </w:r>
            <w:r w:rsidR="0030467D" w:rsidRPr="00A92CED">
              <w:rPr>
                <w:lang w:val="fr-CA"/>
              </w:rPr>
              <w:t>’</w:t>
            </w:r>
            <w:r w:rsidRPr="00A92CED">
              <w:rPr>
                <w:lang w:val="fr-CA"/>
              </w:rPr>
              <w:t>article 11, les *activités visant un explosif ci-après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 :</w:t>
            </w:r>
          </w:p>
          <w:p w14:paraId="33578BDB" w14:textId="705694F6" w:rsidR="00FA05FB" w:rsidRPr="00A92CED" w:rsidRDefault="00FA05FB" w:rsidP="00C81833">
            <w:pPr>
              <w:ind w:left="720"/>
              <w:rPr>
                <w:lang w:val="fr-CA"/>
              </w:rPr>
            </w:pPr>
            <w:r w:rsidRPr="00A92CED">
              <w:rPr>
                <w:lang w:val="fr-CA"/>
              </w:rPr>
              <w:t>f) l</w:t>
            </w:r>
            <w:r w:rsidR="0030467D" w:rsidRPr="00A92CED">
              <w:rPr>
                <w:lang w:val="fr-CA"/>
              </w:rPr>
              <w:t>’</w:t>
            </w:r>
            <w:r w:rsidRPr="00A92CED">
              <w:rPr>
                <w:lang w:val="fr-CA"/>
              </w:rPr>
              <w:t>assemblage et l</w:t>
            </w:r>
            <w:r w:rsidR="0030467D" w:rsidRPr="00A92CED">
              <w:rPr>
                <w:lang w:val="fr-CA"/>
              </w:rPr>
              <w:t>’</w:t>
            </w:r>
            <w:r w:rsidRPr="00A92CED">
              <w:rPr>
                <w:lang w:val="fr-CA"/>
              </w:rPr>
              <w:t>utilisation de pièces pyrotechniques à usage particulier, au sens de l</w:t>
            </w:r>
            <w:r w:rsidR="0030467D" w:rsidRPr="00A92CED">
              <w:rPr>
                <w:lang w:val="fr-CA"/>
              </w:rPr>
              <w:t>’</w:t>
            </w:r>
            <w:r w:rsidRPr="00A92CED">
              <w:rPr>
                <w:lang w:val="fr-CA"/>
              </w:rPr>
              <w:t>article 361;</w:t>
            </w:r>
          </w:p>
        </w:tc>
        <w:tc>
          <w:tcPr>
            <w:tcW w:w="4076" w:type="dxa"/>
          </w:tcPr>
          <w:p w14:paraId="409D16EB" w14:textId="2BB82F08" w:rsidR="00FA05FB" w:rsidRPr="00A92CED" w:rsidRDefault="009B5F70" w:rsidP="009619AB">
            <w:pPr>
              <w:rPr>
                <w:rFonts w:ascii="Calibri" w:eastAsia="Times New Roman" w:hAnsi="Calibri" w:cs="Calibri"/>
                <w:lang w:val="fr-CA" w:eastAsia="en-CA"/>
              </w:rPr>
            </w:pPr>
            <w:r w:rsidRPr="00A92CED">
              <w:rPr>
                <w:bCs/>
                <w:lang w:val="fr-CA"/>
              </w:rPr>
              <w:t>Modifier l</w:t>
            </w:r>
            <w:r w:rsidR="0030467D" w:rsidRPr="00A92CED">
              <w:rPr>
                <w:bCs/>
                <w:lang w:val="fr-CA"/>
              </w:rPr>
              <w:t>’</w:t>
            </w:r>
            <w:r w:rsidRPr="00A92CED">
              <w:rPr>
                <w:bCs/>
                <w:lang w:val="fr-CA"/>
              </w:rPr>
              <w:t>alinéa f) de l</w:t>
            </w:r>
            <w:r w:rsidR="0030467D" w:rsidRPr="00A92CED">
              <w:rPr>
                <w:bCs/>
                <w:lang w:val="fr-CA"/>
              </w:rPr>
              <w:t>’</w:t>
            </w:r>
            <w:r w:rsidRPr="00A92CED">
              <w:rPr>
                <w:bCs/>
                <w:lang w:val="fr-CA"/>
              </w:rPr>
              <w:t xml:space="preserve">article 25 pour remplacer </w:t>
            </w:r>
            <w:r w:rsidRPr="00A92CED">
              <w:rPr>
                <w:rFonts w:cstheme="minorHAnsi"/>
                <w:bCs/>
                <w:lang w:val="fr-CA"/>
              </w:rPr>
              <w:t>« l</w:t>
            </w:r>
            <w:r w:rsidR="0030467D" w:rsidRPr="00A92CED">
              <w:rPr>
                <w:rFonts w:cstheme="minorHAnsi"/>
                <w:bCs/>
                <w:lang w:val="fr-CA"/>
              </w:rPr>
              <w:t>’</w:t>
            </w:r>
            <w:r w:rsidRPr="00A92CED">
              <w:rPr>
                <w:rFonts w:cstheme="minorHAnsi"/>
                <w:bCs/>
                <w:lang w:val="fr-CA"/>
              </w:rPr>
              <w:t>assemblage et l</w:t>
            </w:r>
            <w:r w:rsidR="0030467D" w:rsidRPr="00A92CED">
              <w:rPr>
                <w:rFonts w:cstheme="minorHAnsi"/>
                <w:bCs/>
                <w:lang w:val="fr-CA"/>
              </w:rPr>
              <w:t>’</w:t>
            </w:r>
            <w:r w:rsidRPr="00A92CED">
              <w:rPr>
                <w:rFonts w:cstheme="minorHAnsi"/>
                <w:bCs/>
                <w:lang w:val="fr-CA"/>
              </w:rPr>
              <w:t>utilisation </w:t>
            </w:r>
            <w:r w:rsidRPr="00A92CED">
              <w:rPr>
                <w:rFonts w:ascii="Calibri" w:hAnsi="Calibri" w:cs="Calibri"/>
                <w:bCs/>
                <w:lang w:val="fr-CA"/>
              </w:rPr>
              <w:t xml:space="preserve">» par </w:t>
            </w:r>
            <w:r w:rsidRPr="00A92CED">
              <w:rPr>
                <w:rFonts w:cstheme="minorHAnsi"/>
                <w:bCs/>
                <w:lang w:val="fr-CA"/>
              </w:rPr>
              <w:t>« l</w:t>
            </w:r>
            <w:r w:rsidR="0030467D" w:rsidRPr="00A92CED">
              <w:rPr>
                <w:rFonts w:cstheme="minorHAnsi"/>
                <w:bCs/>
                <w:lang w:val="fr-CA"/>
              </w:rPr>
              <w:t>’</w:t>
            </w:r>
            <w:r w:rsidRPr="00A92CED">
              <w:rPr>
                <w:rFonts w:cstheme="minorHAnsi"/>
                <w:bCs/>
                <w:lang w:val="fr-CA"/>
              </w:rPr>
              <w:t>assemblage, la possession et l</w:t>
            </w:r>
            <w:r w:rsidR="0030467D" w:rsidRPr="00A92CED">
              <w:rPr>
                <w:rFonts w:cstheme="minorHAnsi"/>
                <w:bCs/>
                <w:lang w:val="fr-CA"/>
              </w:rPr>
              <w:t>’</w:t>
            </w:r>
            <w:r w:rsidRPr="00A92CED">
              <w:rPr>
                <w:rFonts w:cstheme="minorHAnsi"/>
                <w:bCs/>
                <w:lang w:val="fr-CA"/>
              </w:rPr>
              <w:t>utilisation </w:t>
            </w:r>
            <w:r w:rsidRPr="00A92CED">
              <w:rPr>
                <w:rFonts w:ascii="Calibri" w:hAnsi="Calibri" w:cs="Calibri"/>
                <w:bCs/>
                <w:lang w:val="fr-CA"/>
              </w:rPr>
              <w:t>».</w:t>
            </w:r>
          </w:p>
        </w:tc>
        <w:tc>
          <w:tcPr>
            <w:tcW w:w="3143" w:type="dxa"/>
            <w:gridSpan w:val="2"/>
          </w:tcPr>
          <w:p w14:paraId="6584FE59" w14:textId="7E0043AC" w:rsidR="00FA05FB" w:rsidRPr="00A92CED" w:rsidRDefault="00F62BA5" w:rsidP="00513D08">
            <w:pPr>
              <w:rPr>
                <w:rFonts w:ascii="Calibri" w:hAnsi="Calibri" w:cs="Calibri"/>
                <w:lang w:val="fr-CA"/>
              </w:rPr>
            </w:pPr>
            <w:r w:rsidRPr="00A92CED">
              <w:rPr>
                <w:lang w:val="fr-CA"/>
              </w:rPr>
              <w:t>Cet amendement proposé vise à clarifier les activités visant un explosif qui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w:t>
            </w:r>
          </w:p>
        </w:tc>
        <w:tc>
          <w:tcPr>
            <w:tcW w:w="3087" w:type="dxa"/>
          </w:tcPr>
          <w:p w14:paraId="7E83D5C8" w14:textId="77777777" w:rsidR="00FA05FB" w:rsidRPr="00A92CED" w:rsidRDefault="00FA05FB" w:rsidP="00513D08">
            <w:pPr>
              <w:rPr>
                <w:rFonts w:ascii="Calibri" w:hAnsi="Calibri" w:cs="Calibri"/>
                <w:lang w:val="fr-CA"/>
              </w:rPr>
            </w:pPr>
          </w:p>
        </w:tc>
      </w:tr>
      <w:tr w:rsidR="00A92CED" w:rsidRPr="00A92CED" w14:paraId="74044181" w14:textId="22AD4BED" w:rsidTr="00E10233">
        <w:tc>
          <w:tcPr>
            <w:tcW w:w="3126" w:type="dxa"/>
          </w:tcPr>
          <w:p w14:paraId="42EF4AE0" w14:textId="77777777" w:rsidR="00FA05FB" w:rsidRPr="00A92CED" w:rsidRDefault="00FA05FB">
            <w:pPr>
              <w:pStyle w:val="ListParagraph"/>
              <w:numPr>
                <w:ilvl w:val="0"/>
                <w:numId w:val="1"/>
              </w:numPr>
              <w:rPr>
                <w:lang w:val="fr-CA"/>
              </w:rPr>
            </w:pPr>
          </w:p>
        </w:tc>
        <w:tc>
          <w:tcPr>
            <w:tcW w:w="3715" w:type="dxa"/>
          </w:tcPr>
          <w:p w14:paraId="47D9504C" w14:textId="51696CFA" w:rsidR="00FA05FB" w:rsidRPr="00A92CED" w:rsidRDefault="00FA05FB" w:rsidP="00C81833">
            <w:pPr>
              <w:rPr>
                <w:lang w:val="fr-CA"/>
              </w:rPr>
            </w:pPr>
            <w:r w:rsidRPr="00A92CED">
              <w:rPr>
                <w:b/>
                <w:lang w:val="fr-CA"/>
              </w:rPr>
              <w:t>25</w:t>
            </w:r>
            <w:r w:rsidRPr="00A92CED">
              <w:rPr>
                <w:lang w:val="fr-CA"/>
              </w:rPr>
              <w:t xml:space="preserve"> Malgré l</w:t>
            </w:r>
            <w:r w:rsidR="0030467D" w:rsidRPr="00A92CED">
              <w:rPr>
                <w:lang w:val="fr-CA"/>
              </w:rPr>
              <w:t>’</w:t>
            </w:r>
            <w:r w:rsidRPr="00A92CED">
              <w:rPr>
                <w:lang w:val="fr-CA"/>
              </w:rPr>
              <w:t>article 11, les *activités visant un explosif ci-après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 :</w:t>
            </w:r>
          </w:p>
          <w:p w14:paraId="71183A08" w14:textId="449B9397" w:rsidR="00FA05FB" w:rsidRPr="00A92CED" w:rsidRDefault="00FA05FB" w:rsidP="00C81833">
            <w:pPr>
              <w:ind w:left="720"/>
              <w:rPr>
                <w:lang w:val="fr-CA"/>
              </w:rPr>
            </w:pPr>
            <w:r w:rsidRPr="00A92CED">
              <w:rPr>
                <w:lang w:val="fr-CA"/>
              </w:rPr>
              <w:t>g) l</w:t>
            </w:r>
            <w:r w:rsidR="0030467D" w:rsidRPr="00A92CED">
              <w:rPr>
                <w:lang w:val="fr-CA"/>
              </w:rPr>
              <w:t>’</w:t>
            </w:r>
            <w:r w:rsidRPr="00A92CED">
              <w:rPr>
                <w:lang w:val="fr-CA"/>
              </w:rPr>
              <w:t>envoi d</w:t>
            </w:r>
            <w:r w:rsidR="0030467D" w:rsidRPr="00A92CED">
              <w:rPr>
                <w:lang w:val="fr-CA"/>
              </w:rPr>
              <w:t>’</w:t>
            </w:r>
            <w:r w:rsidRPr="00A92CED">
              <w:rPr>
                <w:lang w:val="fr-CA"/>
              </w:rPr>
              <w:t>un échantillon d</w:t>
            </w:r>
            <w:r w:rsidR="0030467D" w:rsidRPr="00A92CED">
              <w:rPr>
                <w:lang w:val="fr-CA"/>
              </w:rPr>
              <w:t>’</w:t>
            </w:r>
            <w:r w:rsidRPr="00A92CED">
              <w:rPr>
                <w:lang w:val="fr-CA"/>
              </w:rPr>
              <w:t>un explosif à la demande de l</w:t>
            </w:r>
            <w:r w:rsidR="0030467D" w:rsidRPr="00A92CED">
              <w:rPr>
                <w:lang w:val="fr-CA"/>
              </w:rPr>
              <w:t>’</w:t>
            </w:r>
            <w:r w:rsidRPr="00A92CED">
              <w:rPr>
                <w:lang w:val="fr-CA"/>
              </w:rPr>
              <w:t>inspecteur en chef des explosifs à des fins d</w:t>
            </w:r>
            <w:r w:rsidR="0030467D" w:rsidRPr="00A92CED">
              <w:rPr>
                <w:lang w:val="fr-CA"/>
              </w:rPr>
              <w:t>’</w:t>
            </w:r>
            <w:r w:rsidRPr="00A92CED">
              <w:rPr>
                <w:lang w:val="fr-CA"/>
              </w:rPr>
              <w:t>essai en vue de lui permettre de décider si une autorisation sera accordée;</w:t>
            </w:r>
          </w:p>
        </w:tc>
        <w:tc>
          <w:tcPr>
            <w:tcW w:w="4076" w:type="dxa"/>
          </w:tcPr>
          <w:p w14:paraId="3EEBF111" w14:textId="12BFC03F" w:rsidR="009B5F70" w:rsidRPr="00A92CED" w:rsidRDefault="009B5F70" w:rsidP="009B5F70">
            <w:pPr>
              <w:rPr>
                <w:rFonts w:ascii="Calibri" w:eastAsia="Times New Roman" w:hAnsi="Calibri" w:cs="Calibri"/>
                <w:lang w:val="fr-CA" w:eastAsia="en-CA"/>
              </w:rPr>
            </w:pPr>
            <w:r w:rsidRPr="00A92CED">
              <w:rPr>
                <w:rFonts w:ascii="Calibri" w:eastAsia="Times New Roman" w:hAnsi="Calibri" w:cs="Calibri"/>
                <w:lang w:val="fr-CA" w:eastAsia="en-CA"/>
              </w:rPr>
              <w:t>Modifier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alinéa g) de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article 25 pour préciser que les activités visant un explosif ci-après peuvent être effectuées même si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explosif n</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 xml:space="preserve">est pas autorisé : </w:t>
            </w:r>
          </w:p>
          <w:p w14:paraId="497729C2" w14:textId="7F0B1093" w:rsidR="00FA05FB" w:rsidRPr="00A92CED" w:rsidRDefault="009B5F70" w:rsidP="001E26FD">
            <w:pPr>
              <w:pStyle w:val="ListParagraph"/>
              <w:numPr>
                <w:ilvl w:val="0"/>
                <w:numId w:val="8"/>
              </w:numPr>
              <w:rPr>
                <w:rFonts w:ascii="Calibri" w:eastAsia="Times New Roman" w:hAnsi="Calibri" w:cs="Calibri"/>
                <w:lang w:val="fr-CA" w:eastAsia="en-CA"/>
              </w:rPr>
            </w:pPr>
            <w:r w:rsidRPr="00A92CED">
              <w:rPr>
                <w:rFonts w:ascii="Calibri" w:eastAsia="Times New Roman" w:hAnsi="Calibri" w:cs="Calibri"/>
                <w:lang w:val="fr-CA" w:eastAsia="en-CA"/>
              </w:rPr>
              <w:t>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 xml:space="preserve">envoi </w:t>
            </w:r>
            <w:r w:rsidRPr="00A92CED">
              <w:rPr>
                <w:lang w:val="fr-CA"/>
              </w:rPr>
              <w:t>d</w:t>
            </w:r>
            <w:r w:rsidR="0030467D" w:rsidRPr="00A92CED">
              <w:rPr>
                <w:lang w:val="fr-CA"/>
              </w:rPr>
              <w:t>’</w:t>
            </w:r>
            <w:r w:rsidRPr="00A92CED">
              <w:rPr>
                <w:lang w:val="fr-CA"/>
              </w:rPr>
              <w:t>un échantillon d</w:t>
            </w:r>
            <w:r w:rsidR="0030467D" w:rsidRPr="00A92CED">
              <w:rPr>
                <w:lang w:val="fr-CA"/>
              </w:rPr>
              <w:t>’</w:t>
            </w:r>
            <w:r w:rsidRPr="00A92CED">
              <w:rPr>
                <w:lang w:val="fr-CA"/>
              </w:rPr>
              <w:t>un explosif à la demande de l</w:t>
            </w:r>
            <w:r w:rsidR="0030467D" w:rsidRPr="00A92CED">
              <w:rPr>
                <w:lang w:val="fr-CA"/>
              </w:rPr>
              <w:t>’</w:t>
            </w:r>
            <w:r w:rsidRPr="00A92CED">
              <w:rPr>
                <w:lang w:val="fr-CA"/>
              </w:rPr>
              <w:t>inspecteur en chef des explosifs à des fins d</w:t>
            </w:r>
            <w:r w:rsidR="0030467D" w:rsidRPr="00A92CED">
              <w:rPr>
                <w:lang w:val="fr-CA"/>
              </w:rPr>
              <w:t>’</w:t>
            </w:r>
            <w:r w:rsidRPr="00A92CED">
              <w:rPr>
                <w:lang w:val="fr-CA"/>
              </w:rPr>
              <w:t xml:space="preserve">essai en vue de lui permettre de décider si une autorisation sera accordée </w:t>
            </w:r>
            <w:r w:rsidRPr="00A92CED">
              <w:rPr>
                <w:rFonts w:ascii="Calibri" w:eastAsia="Times New Roman" w:hAnsi="Calibri" w:cs="Calibri"/>
                <w:lang w:val="fr-CA" w:eastAsia="en-CA"/>
              </w:rPr>
              <w:t>et, s</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il le faut, la possession,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 xml:space="preserve">importation, le transport, la </w:t>
            </w:r>
            <w:r w:rsidRPr="00A92CED">
              <w:rPr>
                <w:rFonts w:ascii="Calibri" w:eastAsia="Times New Roman" w:hAnsi="Calibri" w:cs="Calibri"/>
                <w:lang w:val="fr-CA" w:eastAsia="en-CA"/>
              </w:rPr>
              <w:lastRenderedPageBreak/>
              <w:t xml:space="preserve">livraison ou le stockage </w:t>
            </w:r>
            <w:r w:rsidR="00C34488" w:rsidRPr="00A92CED">
              <w:rPr>
                <w:rFonts w:ascii="Calibri" w:eastAsia="Times New Roman" w:hAnsi="Calibri" w:cs="Calibri"/>
                <w:lang w:val="fr-CA" w:eastAsia="en-CA"/>
              </w:rPr>
              <w:t>de cet échantillon;</w:t>
            </w:r>
          </w:p>
        </w:tc>
        <w:tc>
          <w:tcPr>
            <w:tcW w:w="3143" w:type="dxa"/>
            <w:gridSpan w:val="2"/>
          </w:tcPr>
          <w:p w14:paraId="7B89E432" w14:textId="5FB43147" w:rsidR="00FA05FB" w:rsidRPr="00A92CED" w:rsidRDefault="00F62BA5" w:rsidP="00513D08">
            <w:pPr>
              <w:rPr>
                <w:rFonts w:ascii="Calibri" w:hAnsi="Calibri" w:cs="Calibri"/>
                <w:lang w:val="fr-CA"/>
              </w:rPr>
            </w:pPr>
            <w:r w:rsidRPr="00A92CED">
              <w:rPr>
                <w:lang w:val="fr-CA"/>
              </w:rPr>
              <w:lastRenderedPageBreak/>
              <w:t>Cet amendement proposé vise à clarifier les activités visant un explosif qui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w:t>
            </w:r>
          </w:p>
        </w:tc>
        <w:tc>
          <w:tcPr>
            <w:tcW w:w="3087" w:type="dxa"/>
          </w:tcPr>
          <w:p w14:paraId="6D4676B9" w14:textId="77777777" w:rsidR="00FA05FB" w:rsidRPr="00A92CED" w:rsidRDefault="00FA05FB" w:rsidP="00513D08">
            <w:pPr>
              <w:rPr>
                <w:rFonts w:ascii="Calibri" w:hAnsi="Calibri" w:cs="Calibri"/>
                <w:lang w:val="fr-CA"/>
              </w:rPr>
            </w:pPr>
          </w:p>
        </w:tc>
      </w:tr>
      <w:tr w:rsidR="00A92CED" w:rsidRPr="00A92CED" w14:paraId="3A702EC3" w14:textId="434576D1" w:rsidTr="00E10233">
        <w:tc>
          <w:tcPr>
            <w:tcW w:w="3126" w:type="dxa"/>
          </w:tcPr>
          <w:p w14:paraId="6251EF11" w14:textId="77777777" w:rsidR="00FA05FB" w:rsidRPr="00A92CED" w:rsidRDefault="00FA05FB">
            <w:pPr>
              <w:pStyle w:val="ListParagraph"/>
              <w:numPr>
                <w:ilvl w:val="0"/>
                <w:numId w:val="1"/>
              </w:numPr>
              <w:rPr>
                <w:lang w:val="fr-CA"/>
              </w:rPr>
            </w:pPr>
          </w:p>
        </w:tc>
        <w:tc>
          <w:tcPr>
            <w:tcW w:w="3715" w:type="dxa"/>
          </w:tcPr>
          <w:p w14:paraId="76EA46B4" w14:textId="5425ED07" w:rsidR="00FA05FB" w:rsidRPr="00A92CED" w:rsidRDefault="00FA05FB" w:rsidP="00C81833">
            <w:pPr>
              <w:rPr>
                <w:lang w:val="fr-CA"/>
              </w:rPr>
            </w:pPr>
            <w:r w:rsidRPr="00A92CED">
              <w:rPr>
                <w:b/>
                <w:lang w:val="fr-CA"/>
              </w:rPr>
              <w:t>25</w:t>
            </w:r>
            <w:r w:rsidRPr="00A92CED">
              <w:rPr>
                <w:lang w:val="fr-CA"/>
              </w:rPr>
              <w:t xml:space="preserve"> Malgré l</w:t>
            </w:r>
            <w:r w:rsidR="0030467D" w:rsidRPr="00A92CED">
              <w:rPr>
                <w:lang w:val="fr-CA"/>
              </w:rPr>
              <w:t>’</w:t>
            </w:r>
            <w:r w:rsidRPr="00A92CED">
              <w:rPr>
                <w:lang w:val="fr-CA"/>
              </w:rPr>
              <w:t>article 11, les *activités visant un explosif ci-après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 :</w:t>
            </w:r>
          </w:p>
          <w:p w14:paraId="7C4D4D18" w14:textId="3C19D3FC" w:rsidR="00FA05FB" w:rsidRPr="00A92CED" w:rsidRDefault="00FA05FB" w:rsidP="00C81833">
            <w:pPr>
              <w:ind w:left="720"/>
              <w:rPr>
                <w:lang w:val="fr-CA"/>
              </w:rPr>
            </w:pPr>
            <w:r w:rsidRPr="00A92CED">
              <w:rPr>
                <w:lang w:val="fr-CA"/>
              </w:rPr>
              <w:t>h) l</w:t>
            </w:r>
            <w:r w:rsidR="0030467D" w:rsidRPr="00A92CED">
              <w:rPr>
                <w:lang w:val="fr-CA"/>
              </w:rPr>
              <w:t>’</w:t>
            </w:r>
            <w:r w:rsidRPr="00A92CED">
              <w:rPr>
                <w:lang w:val="fr-CA"/>
              </w:rPr>
              <w:t>importation d</w:t>
            </w:r>
            <w:r w:rsidR="0030467D" w:rsidRPr="00A92CED">
              <w:rPr>
                <w:lang w:val="fr-CA"/>
              </w:rPr>
              <w:t>’</w:t>
            </w:r>
            <w:r w:rsidRPr="00A92CED">
              <w:rPr>
                <w:lang w:val="fr-CA"/>
              </w:rPr>
              <w:t>explosifs, si les conditions mentionnées à l</w:t>
            </w:r>
            <w:r w:rsidR="0030467D" w:rsidRPr="00A92CED">
              <w:rPr>
                <w:lang w:val="fr-CA"/>
              </w:rPr>
              <w:t>’</w:t>
            </w:r>
            <w:r w:rsidRPr="00A92CED">
              <w:rPr>
                <w:lang w:val="fr-CA"/>
              </w:rPr>
              <w:t>article 45 sont remplies;</w:t>
            </w:r>
          </w:p>
        </w:tc>
        <w:tc>
          <w:tcPr>
            <w:tcW w:w="4076" w:type="dxa"/>
          </w:tcPr>
          <w:p w14:paraId="29473EDD" w14:textId="3E06A781" w:rsidR="00C34488" w:rsidRPr="00A92CED" w:rsidRDefault="00C34488" w:rsidP="00C34488">
            <w:pPr>
              <w:rPr>
                <w:rFonts w:ascii="Calibri" w:eastAsia="Times New Roman" w:hAnsi="Calibri" w:cs="Calibri"/>
                <w:lang w:val="fr-CA" w:eastAsia="en-CA"/>
              </w:rPr>
            </w:pPr>
            <w:r w:rsidRPr="00A92CED">
              <w:rPr>
                <w:rFonts w:ascii="Calibri" w:eastAsia="Times New Roman" w:hAnsi="Calibri" w:cs="Calibri"/>
                <w:lang w:val="fr-CA" w:eastAsia="en-CA"/>
              </w:rPr>
              <w:t>Modifier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alinéa h) de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article 25 pour préciser que les activités visant un explosif ci-après peuvent être effectuées même si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explosif n</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 xml:space="preserve">est pas autorisé : </w:t>
            </w:r>
          </w:p>
          <w:p w14:paraId="3C937D77" w14:textId="28E93137" w:rsidR="00FA05FB" w:rsidRPr="00A92CED" w:rsidRDefault="00C34488" w:rsidP="001E26FD">
            <w:pPr>
              <w:pStyle w:val="ListParagraph"/>
              <w:numPr>
                <w:ilvl w:val="0"/>
                <w:numId w:val="7"/>
              </w:numPr>
              <w:rPr>
                <w:rFonts w:ascii="Calibri" w:eastAsia="Times New Roman" w:hAnsi="Calibri" w:cs="Calibri"/>
                <w:lang w:val="fr-CA" w:eastAsia="en-CA"/>
              </w:rPr>
            </w:pPr>
            <w:r w:rsidRPr="00A92CED">
              <w:rPr>
                <w:lang w:val="fr-CA"/>
              </w:rPr>
              <w:t>l</w:t>
            </w:r>
            <w:r w:rsidR="0030467D" w:rsidRPr="00A92CED">
              <w:rPr>
                <w:lang w:val="fr-CA"/>
              </w:rPr>
              <w:t>’</w:t>
            </w:r>
            <w:r w:rsidRPr="00A92CED">
              <w:rPr>
                <w:lang w:val="fr-CA"/>
              </w:rPr>
              <w:t>importation et, s</w:t>
            </w:r>
            <w:r w:rsidR="0030467D" w:rsidRPr="00A92CED">
              <w:rPr>
                <w:lang w:val="fr-CA"/>
              </w:rPr>
              <w:t>’</w:t>
            </w:r>
            <w:r w:rsidRPr="00A92CED">
              <w:rPr>
                <w:lang w:val="fr-CA"/>
              </w:rPr>
              <w:t>il le faut, l</w:t>
            </w:r>
            <w:r w:rsidR="0030467D" w:rsidRPr="00A92CED">
              <w:rPr>
                <w:lang w:val="fr-CA"/>
              </w:rPr>
              <w:t>’</w:t>
            </w:r>
            <w:r w:rsidRPr="00A92CED">
              <w:rPr>
                <w:lang w:val="fr-CA"/>
              </w:rPr>
              <w:t xml:space="preserve">importation, la possession, </w:t>
            </w:r>
            <w:r w:rsidR="00033C43" w:rsidRPr="00A92CED">
              <w:rPr>
                <w:lang w:val="fr-CA"/>
              </w:rPr>
              <w:t xml:space="preserve">la livraison, </w:t>
            </w:r>
            <w:r w:rsidRPr="00A92CED">
              <w:rPr>
                <w:lang w:val="fr-CA"/>
              </w:rPr>
              <w:t>le stockage ou le transport d</w:t>
            </w:r>
            <w:r w:rsidR="0030467D" w:rsidRPr="00A92CED">
              <w:rPr>
                <w:lang w:val="fr-CA"/>
              </w:rPr>
              <w:t>’</w:t>
            </w:r>
            <w:r w:rsidRPr="00A92CED">
              <w:rPr>
                <w:lang w:val="fr-CA"/>
              </w:rPr>
              <w:t>explosifs, si les conditions mentionnées à l</w:t>
            </w:r>
            <w:r w:rsidR="0030467D" w:rsidRPr="00A92CED">
              <w:rPr>
                <w:lang w:val="fr-CA"/>
              </w:rPr>
              <w:t>’</w:t>
            </w:r>
            <w:r w:rsidRPr="00A92CED">
              <w:rPr>
                <w:lang w:val="fr-CA"/>
              </w:rPr>
              <w:t>article 45 ou à l</w:t>
            </w:r>
            <w:r w:rsidR="0030467D" w:rsidRPr="00A92CED">
              <w:rPr>
                <w:lang w:val="fr-CA"/>
              </w:rPr>
              <w:t>’</w:t>
            </w:r>
            <w:r w:rsidRPr="00A92CED">
              <w:rPr>
                <w:lang w:val="fr-CA"/>
              </w:rPr>
              <w:t>article 45.1 sont remplies;</w:t>
            </w:r>
          </w:p>
        </w:tc>
        <w:tc>
          <w:tcPr>
            <w:tcW w:w="3143" w:type="dxa"/>
            <w:gridSpan w:val="2"/>
          </w:tcPr>
          <w:p w14:paraId="01411FDE" w14:textId="367991BA" w:rsidR="00FA05FB" w:rsidRPr="00A92CED" w:rsidRDefault="00F62BA5" w:rsidP="00513D08">
            <w:pPr>
              <w:rPr>
                <w:rFonts w:ascii="Calibri" w:hAnsi="Calibri" w:cs="Calibri"/>
                <w:lang w:val="fr-CA"/>
              </w:rPr>
            </w:pPr>
            <w:r w:rsidRPr="00A92CED">
              <w:rPr>
                <w:lang w:val="fr-CA"/>
              </w:rPr>
              <w:t>Cet amendement proposé vise à clarifier les activités visant un explosif qui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w:t>
            </w:r>
          </w:p>
        </w:tc>
        <w:tc>
          <w:tcPr>
            <w:tcW w:w="3087" w:type="dxa"/>
          </w:tcPr>
          <w:p w14:paraId="5AEC0112" w14:textId="77777777" w:rsidR="00FA05FB" w:rsidRPr="00A92CED" w:rsidRDefault="00FA05FB" w:rsidP="00513D08">
            <w:pPr>
              <w:rPr>
                <w:rFonts w:ascii="Calibri" w:hAnsi="Calibri" w:cs="Calibri"/>
                <w:lang w:val="fr-CA"/>
              </w:rPr>
            </w:pPr>
          </w:p>
        </w:tc>
      </w:tr>
      <w:tr w:rsidR="00A92CED" w:rsidRPr="00A92CED" w14:paraId="73BE35E6" w14:textId="2AF204E1" w:rsidTr="00E10233">
        <w:tc>
          <w:tcPr>
            <w:tcW w:w="3126" w:type="dxa"/>
          </w:tcPr>
          <w:p w14:paraId="6F676AFA" w14:textId="77777777" w:rsidR="00FA05FB" w:rsidRPr="00A92CED" w:rsidRDefault="00FA05FB">
            <w:pPr>
              <w:pStyle w:val="ListParagraph"/>
              <w:numPr>
                <w:ilvl w:val="0"/>
                <w:numId w:val="1"/>
              </w:numPr>
              <w:rPr>
                <w:lang w:val="fr-CA"/>
              </w:rPr>
            </w:pPr>
          </w:p>
        </w:tc>
        <w:tc>
          <w:tcPr>
            <w:tcW w:w="3715" w:type="dxa"/>
          </w:tcPr>
          <w:p w14:paraId="14A75217" w14:textId="2EA3851C" w:rsidR="00FA05FB" w:rsidRPr="00A92CED" w:rsidRDefault="00FA05FB" w:rsidP="00C81833">
            <w:pPr>
              <w:rPr>
                <w:lang w:val="fr-CA"/>
              </w:rPr>
            </w:pPr>
            <w:r w:rsidRPr="00A92CED">
              <w:rPr>
                <w:b/>
                <w:lang w:val="fr-CA"/>
              </w:rPr>
              <w:t>25</w:t>
            </w:r>
            <w:r w:rsidRPr="00A92CED">
              <w:rPr>
                <w:lang w:val="fr-CA"/>
              </w:rPr>
              <w:t xml:space="preserve"> Malgré l</w:t>
            </w:r>
            <w:r w:rsidR="0030467D" w:rsidRPr="00A92CED">
              <w:rPr>
                <w:lang w:val="fr-CA"/>
              </w:rPr>
              <w:t>’</w:t>
            </w:r>
            <w:r w:rsidRPr="00A92CED">
              <w:rPr>
                <w:lang w:val="fr-CA"/>
              </w:rPr>
              <w:t>article 11, les *activités visant un explosif ci-après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 :</w:t>
            </w:r>
          </w:p>
          <w:p w14:paraId="6D7FFC8B" w14:textId="2EA2B358" w:rsidR="00FA05FB" w:rsidRPr="00A92CED" w:rsidRDefault="00FA05FB" w:rsidP="00C81833">
            <w:pPr>
              <w:ind w:left="720"/>
              <w:rPr>
                <w:lang w:val="fr-CA"/>
              </w:rPr>
            </w:pPr>
            <w:r w:rsidRPr="00A92CED">
              <w:rPr>
                <w:lang w:val="fr-CA"/>
              </w:rPr>
              <w:t>i) l</w:t>
            </w:r>
            <w:r w:rsidR="0030467D" w:rsidRPr="00A92CED">
              <w:rPr>
                <w:lang w:val="fr-CA"/>
              </w:rPr>
              <w:t>’</w:t>
            </w:r>
            <w:r w:rsidRPr="00A92CED">
              <w:rPr>
                <w:lang w:val="fr-CA"/>
              </w:rPr>
              <w:t>exportation d</w:t>
            </w:r>
            <w:r w:rsidR="0030467D" w:rsidRPr="00A92CED">
              <w:rPr>
                <w:lang w:val="fr-CA"/>
              </w:rPr>
              <w:t>’</w:t>
            </w:r>
            <w:r w:rsidRPr="00A92CED">
              <w:rPr>
                <w:lang w:val="fr-CA"/>
              </w:rPr>
              <w:t>explosifs, si les conditions mentionnées à l</w:t>
            </w:r>
            <w:r w:rsidR="0030467D" w:rsidRPr="00A92CED">
              <w:rPr>
                <w:lang w:val="fr-CA"/>
              </w:rPr>
              <w:t>’</w:t>
            </w:r>
            <w:r w:rsidRPr="00A92CED">
              <w:rPr>
                <w:lang w:val="fr-CA"/>
              </w:rPr>
              <w:t>article 45 sont remplies;</w:t>
            </w:r>
          </w:p>
        </w:tc>
        <w:tc>
          <w:tcPr>
            <w:tcW w:w="4076" w:type="dxa"/>
          </w:tcPr>
          <w:p w14:paraId="620846EC" w14:textId="0926283D" w:rsidR="00FA05FB" w:rsidRPr="00A92CED" w:rsidRDefault="00C34488" w:rsidP="009619AB">
            <w:pPr>
              <w:rPr>
                <w:rFonts w:ascii="Calibri" w:eastAsia="Times New Roman" w:hAnsi="Calibri" w:cs="Calibri"/>
                <w:lang w:val="fr-CA" w:eastAsia="en-CA"/>
              </w:rPr>
            </w:pPr>
            <w:r w:rsidRPr="00A92CED">
              <w:rPr>
                <w:bCs/>
                <w:lang w:val="fr-CA"/>
              </w:rPr>
              <w:t>Modifier l</w:t>
            </w:r>
            <w:r w:rsidR="0030467D" w:rsidRPr="00A92CED">
              <w:rPr>
                <w:bCs/>
                <w:lang w:val="fr-CA"/>
              </w:rPr>
              <w:t>’</w:t>
            </w:r>
            <w:r w:rsidRPr="00A92CED">
              <w:rPr>
                <w:bCs/>
                <w:lang w:val="fr-CA"/>
              </w:rPr>
              <w:t>alinéa i) de l</w:t>
            </w:r>
            <w:r w:rsidR="0030467D" w:rsidRPr="00A92CED">
              <w:rPr>
                <w:bCs/>
                <w:lang w:val="fr-CA"/>
              </w:rPr>
              <w:t>’</w:t>
            </w:r>
            <w:r w:rsidRPr="00A92CED">
              <w:rPr>
                <w:bCs/>
                <w:lang w:val="fr-CA"/>
              </w:rPr>
              <w:t xml:space="preserve">article 25 pour remplacer </w:t>
            </w:r>
            <w:r w:rsidRPr="00A92CED">
              <w:rPr>
                <w:rFonts w:cstheme="minorHAnsi"/>
                <w:bCs/>
                <w:lang w:val="fr-CA"/>
              </w:rPr>
              <w:t>« l</w:t>
            </w:r>
            <w:r w:rsidR="0030467D" w:rsidRPr="00A92CED">
              <w:rPr>
                <w:rFonts w:cstheme="minorHAnsi"/>
                <w:bCs/>
                <w:lang w:val="fr-CA"/>
              </w:rPr>
              <w:t>’</w:t>
            </w:r>
            <w:r w:rsidRPr="00A92CED">
              <w:rPr>
                <w:rFonts w:cstheme="minorHAnsi"/>
                <w:bCs/>
                <w:lang w:val="fr-CA"/>
              </w:rPr>
              <w:t>exportation </w:t>
            </w:r>
            <w:r w:rsidRPr="00A92CED">
              <w:rPr>
                <w:rFonts w:ascii="Calibri" w:hAnsi="Calibri" w:cs="Calibri"/>
                <w:bCs/>
                <w:lang w:val="fr-CA"/>
              </w:rPr>
              <w:t>» par « l</w:t>
            </w:r>
            <w:r w:rsidR="0030467D" w:rsidRPr="00A92CED">
              <w:rPr>
                <w:rFonts w:ascii="Calibri" w:hAnsi="Calibri" w:cs="Calibri"/>
                <w:bCs/>
                <w:lang w:val="fr-CA"/>
              </w:rPr>
              <w:t>’</w:t>
            </w:r>
            <w:r w:rsidRPr="00A92CED">
              <w:rPr>
                <w:rFonts w:ascii="Calibri" w:hAnsi="Calibri" w:cs="Calibri"/>
                <w:bCs/>
                <w:lang w:val="fr-CA"/>
              </w:rPr>
              <w:t xml:space="preserve">exportation, la possession, </w:t>
            </w:r>
            <w:r w:rsidR="00AF2E04" w:rsidRPr="00A92CED">
              <w:rPr>
                <w:rFonts w:ascii="Calibri" w:hAnsi="Calibri" w:cs="Calibri"/>
                <w:bCs/>
                <w:lang w:val="fr-CA"/>
              </w:rPr>
              <w:t xml:space="preserve">la livraison, </w:t>
            </w:r>
            <w:r w:rsidRPr="00A92CED">
              <w:rPr>
                <w:rFonts w:ascii="Calibri" w:hAnsi="Calibri" w:cs="Calibri"/>
                <w:bCs/>
                <w:lang w:val="fr-CA"/>
              </w:rPr>
              <w:t>le stockage et le transport ».</w:t>
            </w:r>
          </w:p>
        </w:tc>
        <w:tc>
          <w:tcPr>
            <w:tcW w:w="3143" w:type="dxa"/>
            <w:gridSpan w:val="2"/>
          </w:tcPr>
          <w:p w14:paraId="7295B142" w14:textId="04E8E481" w:rsidR="00FA05FB" w:rsidRPr="00A92CED" w:rsidRDefault="00F62BA5" w:rsidP="00513D08">
            <w:pPr>
              <w:rPr>
                <w:rFonts w:ascii="Calibri" w:hAnsi="Calibri" w:cs="Calibri"/>
                <w:lang w:val="fr-CA"/>
              </w:rPr>
            </w:pPr>
            <w:r w:rsidRPr="00A92CED">
              <w:rPr>
                <w:lang w:val="fr-CA"/>
              </w:rPr>
              <w:t>Cet amendement proposé vise à clarifier les activités visant un explosif qui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w:t>
            </w:r>
          </w:p>
        </w:tc>
        <w:tc>
          <w:tcPr>
            <w:tcW w:w="3087" w:type="dxa"/>
          </w:tcPr>
          <w:p w14:paraId="21B1F073" w14:textId="77777777" w:rsidR="00FA05FB" w:rsidRPr="00A92CED" w:rsidRDefault="00FA05FB" w:rsidP="00513D08">
            <w:pPr>
              <w:rPr>
                <w:rFonts w:ascii="Calibri" w:hAnsi="Calibri" w:cs="Calibri"/>
                <w:lang w:val="fr-CA"/>
              </w:rPr>
            </w:pPr>
          </w:p>
        </w:tc>
      </w:tr>
      <w:tr w:rsidR="00A92CED" w:rsidRPr="00A92CED" w14:paraId="2D89BAA3" w14:textId="426234E8" w:rsidTr="00E10233">
        <w:tc>
          <w:tcPr>
            <w:tcW w:w="3126" w:type="dxa"/>
          </w:tcPr>
          <w:p w14:paraId="63269B62" w14:textId="77777777" w:rsidR="00FA05FB" w:rsidRPr="00A92CED" w:rsidRDefault="00FA05FB">
            <w:pPr>
              <w:pStyle w:val="ListParagraph"/>
              <w:numPr>
                <w:ilvl w:val="0"/>
                <w:numId w:val="1"/>
              </w:numPr>
              <w:rPr>
                <w:lang w:val="fr-CA"/>
              </w:rPr>
            </w:pPr>
          </w:p>
        </w:tc>
        <w:tc>
          <w:tcPr>
            <w:tcW w:w="3715" w:type="dxa"/>
          </w:tcPr>
          <w:p w14:paraId="72050901" w14:textId="65919DDC" w:rsidR="00FA05FB" w:rsidRPr="00A92CED" w:rsidRDefault="00FA05FB" w:rsidP="00C81833">
            <w:pPr>
              <w:rPr>
                <w:lang w:val="fr-CA"/>
              </w:rPr>
            </w:pPr>
            <w:r w:rsidRPr="00A92CED">
              <w:rPr>
                <w:b/>
                <w:lang w:val="fr-CA"/>
              </w:rPr>
              <w:t>25</w:t>
            </w:r>
            <w:r w:rsidRPr="00A92CED">
              <w:rPr>
                <w:lang w:val="fr-CA"/>
              </w:rPr>
              <w:t xml:space="preserve"> Malgré l</w:t>
            </w:r>
            <w:r w:rsidR="0030467D" w:rsidRPr="00A92CED">
              <w:rPr>
                <w:lang w:val="fr-CA"/>
              </w:rPr>
              <w:t>’</w:t>
            </w:r>
            <w:r w:rsidRPr="00A92CED">
              <w:rPr>
                <w:lang w:val="fr-CA"/>
              </w:rPr>
              <w:t>article 11, les *activités visant un explosif ci-après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 :</w:t>
            </w:r>
          </w:p>
          <w:p w14:paraId="5B23EEEB" w14:textId="2BE13334" w:rsidR="00FA05FB" w:rsidRPr="00A92CED" w:rsidRDefault="00FA05FB" w:rsidP="00C81833">
            <w:pPr>
              <w:ind w:left="720"/>
              <w:rPr>
                <w:b/>
                <w:lang w:val="fr-CA"/>
              </w:rPr>
            </w:pPr>
            <w:r w:rsidRPr="00A92CED">
              <w:rPr>
                <w:lang w:val="fr-CA"/>
              </w:rPr>
              <w:t>j) le transport en transit d</w:t>
            </w:r>
            <w:r w:rsidR="0030467D" w:rsidRPr="00A92CED">
              <w:rPr>
                <w:lang w:val="fr-CA"/>
              </w:rPr>
              <w:t>’</w:t>
            </w:r>
            <w:r w:rsidRPr="00A92CED">
              <w:rPr>
                <w:lang w:val="fr-CA"/>
              </w:rPr>
              <w:t>explosifs.</w:t>
            </w:r>
          </w:p>
        </w:tc>
        <w:tc>
          <w:tcPr>
            <w:tcW w:w="4076" w:type="dxa"/>
          </w:tcPr>
          <w:p w14:paraId="59478D50" w14:textId="0582DA04" w:rsidR="00C34488" w:rsidRPr="00A92CED" w:rsidRDefault="00C34488" w:rsidP="00C34488">
            <w:pPr>
              <w:rPr>
                <w:rFonts w:ascii="Calibri" w:eastAsia="Times New Roman" w:hAnsi="Calibri" w:cs="Calibri"/>
                <w:lang w:val="fr-CA" w:eastAsia="en-CA"/>
              </w:rPr>
            </w:pPr>
            <w:r w:rsidRPr="00A92CED">
              <w:rPr>
                <w:rFonts w:ascii="Calibri" w:eastAsia="Times New Roman" w:hAnsi="Calibri" w:cs="Calibri"/>
                <w:lang w:val="fr-CA" w:eastAsia="en-CA"/>
              </w:rPr>
              <w:t>Modifier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alinéa j) de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article 25 pour préciser que les activités visant un explosif ci-après peuvent être effectuées même si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explosif n</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 xml:space="preserve">est pas autorisé : </w:t>
            </w:r>
          </w:p>
          <w:p w14:paraId="0C9191EE" w14:textId="428E3F56" w:rsidR="00FA05FB" w:rsidRPr="00A92CED" w:rsidRDefault="00C34488" w:rsidP="001E26FD">
            <w:pPr>
              <w:pStyle w:val="ListParagraph"/>
              <w:numPr>
                <w:ilvl w:val="0"/>
                <w:numId w:val="6"/>
              </w:numPr>
              <w:rPr>
                <w:rFonts w:ascii="Calibri" w:eastAsia="Times New Roman" w:hAnsi="Calibri" w:cs="Calibri"/>
                <w:lang w:val="fr-CA" w:eastAsia="en-CA"/>
              </w:rPr>
            </w:pPr>
            <w:r w:rsidRPr="00A92CED">
              <w:rPr>
                <w:rFonts w:ascii="Calibri" w:eastAsia="Times New Roman" w:hAnsi="Calibri" w:cs="Calibri"/>
                <w:lang w:val="fr-CA" w:eastAsia="en-CA"/>
              </w:rPr>
              <w:t>le transport en transit et, s</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il le faut, le transport, la possession, le stockage ou la livraison d</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explosifs.</w:t>
            </w:r>
          </w:p>
        </w:tc>
        <w:tc>
          <w:tcPr>
            <w:tcW w:w="3143" w:type="dxa"/>
            <w:gridSpan w:val="2"/>
          </w:tcPr>
          <w:p w14:paraId="479801CC" w14:textId="4914B49E" w:rsidR="00FA05FB" w:rsidRPr="00A92CED" w:rsidRDefault="00F62BA5" w:rsidP="00513D08">
            <w:pPr>
              <w:rPr>
                <w:rFonts w:ascii="Calibri" w:hAnsi="Calibri" w:cs="Calibri"/>
                <w:lang w:val="fr-CA"/>
              </w:rPr>
            </w:pPr>
            <w:r w:rsidRPr="00A92CED">
              <w:rPr>
                <w:lang w:val="fr-CA"/>
              </w:rPr>
              <w:t>Cet amendement proposé vise à clarifier les activités visant un explosif qui peuvent être effectuées même si l</w:t>
            </w:r>
            <w:r w:rsidR="0030467D" w:rsidRPr="00A92CED">
              <w:rPr>
                <w:lang w:val="fr-CA"/>
              </w:rPr>
              <w:t>’</w:t>
            </w:r>
            <w:r w:rsidRPr="00A92CED">
              <w:rPr>
                <w:lang w:val="fr-CA"/>
              </w:rPr>
              <w:t>explosif n</w:t>
            </w:r>
            <w:r w:rsidR="0030467D" w:rsidRPr="00A92CED">
              <w:rPr>
                <w:lang w:val="fr-CA"/>
              </w:rPr>
              <w:t>’</w:t>
            </w:r>
            <w:r w:rsidRPr="00A92CED">
              <w:rPr>
                <w:lang w:val="fr-CA"/>
              </w:rPr>
              <w:t>est pas autorisé.</w:t>
            </w:r>
          </w:p>
        </w:tc>
        <w:tc>
          <w:tcPr>
            <w:tcW w:w="3087" w:type="dxa"/>
          </w:tcPr>
          <w:p w14:paraId="4C948CE9" w14:textId="77777777" w:rsidR="00FA05FB" w:rsidRPr="00A92CED" w:rsidRDefault="00FA05FB" w:rsidP="00513D08">
            <w:pPr>
              <w:rPr>
                <w:rFonts w:ascii="Calibri" w:hAnsi="Calibri" w:cs="Calibri"/>
                <w:lang w:val="fr-CA"/>
              </w:rPr>
            </w:pPr>
          </w:p>
        </w:tc>
      </w:tr>
      <w:tr w:rsidR="00A92CED" w:rsidRPr="00A92CED" w14:paraId="0591B23D" w14:textId="77777777" w:rsidTr="00E10233">
        <w:tc>
          <w:tcPr>
            <w:tcW w:w="3126" w:type="dxa"/>
          </w:tcPr>
          <w:p w14:paraId="3F49A1C1" w14:textId="77777777" w:rsidR="000E7DF7" w:rsidRPr="00A92CED" w:rsidRDefault="000E7DF7">
            <w:pPr>
              <w:pStyle w:val="ListParagraph"/>
              <w:numPr>
                <w:ilvl w:val="0"/>
                <w:numId w:val="1"/>
              </w:numPr>
              <w:rPr>
                <w:lang w:val="fr-CA"/>
              </w:rPr>
            </w:pPr>
          </w:p>
        </w:tc>
        <w:tc>
          <w:tcPr>
            <w:tcW w:w="3715" w:type="dxa"/>
          </w:tcPr>
          <w:p w14:paraId="5172A5A9" w14:textId="5B985D2A" w:rsidR="000E7DF7" w:rsidRPr="00A92CED" w:rsidRDefault="000E7DF7" w:rsidP="00C81833">
            <w:pPr>
              <w:rPr>
                <w:rFonts w:ascii="Calibri" w:hAnsi="Calibri" w:cs="Calibri"/>
                <w:lang w:val="fr-CA"/>
              </w:rPr>
            </w:pPr>
            <w:r w:rsidRPr="00A92CED">
              <w:rPr>
                <w:rFonts w:ascii="Calibri" w:hAnsi="Calibri" w:cs="Calibri"/>
                <w:b/>
                <w:bCs/>
                <w:lang w:val="fr-CA"/>
              </w:rPr>
              <w:t xml:space="preserve">36 </w:t>
            </w:r>
            <w:r w:rsidRPr="00A92CED">
              <w:rPr>
                <w:rFonts w:ascii="Calibri" w:hAnsi="Calibri" w:cs="Calibri"/>
                <w:lang w:val="fr-CA"/>
              </w:rPr>
              <w:t>(2)</w:t>
            </w:r>
            <w:r w:rsidRPr="00A92CED">
              <w:rPr>
                <w:rFonts w:ascii="Calibri" w:hAnsi="Calibri" w:cs="Calibri"/>
                <w:b/>
                <w:bCs/>
                <w:lang w:val="fr-CA"/>
              </w:rPr>
              <w:t xml:space="preserve"> </w:t>
            </w:r>
            <w:r w:rsidRPr="00A92CED">
              <w:rPr>
                <w:rFonts w:ascii="Calibri" w:hAnsi="Calibri" w:cs="Calibri"/>
                <w:lang w:val="fr-CA"/>
              </w:rPr>
              <w:t>Chaque explosif autorisé appartient, selon les fins auxquelles il est destiné, à l</w:t>
            </w:r>
            <w:r w:rsidR="0030467D" w:rsidRPr="00A92CED">
              <w:rPr>
                <w:rFonts w:ascii="Calibri" w:hAnsi="Calibri" w:cs="Calibri"/>
                <w:lang w:val="fr-CA"/>
              </w:rPr>
              <w:t>’</w:t>
            </w:r>
            <w:r w:rsidRPr="00A92CED">
              <w:rPr>
                <w:rFonts w:ascii="Calibri" w:hAnsi="Calibri" w:cs="Calibri"/>
                <w:lang w:val="fr-CA"/>
              </w:rPr>
              <w:t>un des types suivants :</w:t>
            </w:r>
          </w:p>
          <w:p w14:paraId="1352262B" w14:textId="518EFC89" w:rsidR="000E7DF7" w:rsidRPr="00A92CED" w:rsidRDefault="000E7DF7" w:rsidP="000E7DF7">
            <w:pPr>
              <w:ind w:left="720"/>
              <w:rPr>
                <w:rFonts w:ascii="Calibri" w:hAnsi="Calibri" w:cs="Calibri"/>
                <w:b/>
                <w:bCs/>
                <w:lang w:val="fr-CA"/>
              </w:rPr>
            </w:pPr>
            <w:r w:rsidRPr="00A92CED">
              <w:rPr>
                <w:rFonts w:ascii="Calibri" w:hAnsi="Calibri" w:cs="Calibri"/>
                <w:lang w:val="fr-CA"/>
              </w:rPr>
              <w:t>g)</w:t>
            </w:r>
            <w:r w:rsidRPr="00A92CED">
              <w:rPr>
                <w:rFonts w:ascii="Calibri" w:hAnsi="Calibri" w:cs="Calibri"/>
                <w:b/>
                <w:bCs/>
                <w:lang w:val="fr-CA"/>
              </w:rPr>
              <w:t xml:space="preserve"> </w:t>
            </w:r>
            <w:r w:rsidRPr="00A92CED">
              <w:rPr>
                <w:rFonts w:ascii="Calibri" w:hAnsi="Calibri" w:cs="Calibri"/>
                <w:lang w:val="fr-CA"/>
              </w:rPr>
              <w:t>R — moteurs de fusée :</w:t>
            </w:r>
          </w:p>
          <w:p w14:paraId="06CF450E" w14:textId="32A8DDCF" w:rsidR="000E7DF7" w:rsidRPr="00A92CED" w:rsidRDefault="000E7DF7" w:rsidP="000E7DF7">
            <w:pPr>
              <w:ind w:left="1440"/>
              <w:rPr>
                <w:b/>
                <w:lang w:val="fr-CA"/>
              </w:rPr>
            </w:pPr>
            <w:r w:rsidRPr="00A92CED">
              <w:rPr>
                <w:rFonts w:ascii="Calibri" w:hAnsi="Calibri" w:cs="Calibri"/>
                <w:lang w:val="fr-CA"/>
              </w:rPr>
              <w:t>(i)</w:t>
            </w:r>
            <w:r w:rsidRPr="00A92CED">
              <w:rPr>
                <w:rFonts w:ascii="Calibri" w:hAnsi="Calibri" w:cs="Calibri"/>
                <w:b/>
                <w:bCs/>
                <w:lang w:val="fr-CA"/>
              </w:rPr>
              <w:t xml:space="preserve"> </w:t>
            </w:r>
            <w:r w:rsidRPr="00A92CED">
              <w:rPr>
                <w:rFonts w:ascii="Calibri" w:hAnsi="Calibri" w:cs="Calibri"/>
                <w:lang w:val="fr-CA"/>
              </w:rPr>
              <w:t>R.1 — moteurs de fusée miniature,</w:t>
            </w:r>
            <w:r w:rsidRPr="00A92CED">
              <w:rPr>
                <w:rFonts w:ascii="Calibri" w:hAnsi="Calibri" w:cs="Calibri"/>
                <w:lang w:val="fr-CA"/>
              </w:rPr>
              <w:br/>
              <w:t>(ii)</w:t>
            </w:r>
            <w:r w:rsidRPr="00A92CED">
              <w:rPr>
                <w:rFonts w:ascii="Calibri" w:hAnsi="Calibri" w:cs="Calibri"/>
                <w:b/>
                <w:bCs/>
                <w:lang w:val="fr-CA"/>
              </w:rPr>
              <w:t xml:space="preserve"> </w:t>
            </w:r>
            <w:r w:rsidRPr="00A92CED">
              <w:rPr>
                <w:rFonts w:ascii="Calibri" w:hAnsi="Calibri" w:cs="Calibri"/>
                <w:lang w:val="fr-CA"/>
              </w:rPr>
              <w:t xml:space="preserve">R.2 — moteurs de </w:t>
            </w:r>
            <w:r w:rsidRPr="00A92CED">
              <w:rPr>
                <w:rFonts w:ascii="Calibri" w:hAnsi="Calibri" w:cs="Calibri"/>
                <w:lang w:val="fr-CA"/>
              </w:rPr>
              <w:lastRenderedPageBreak/>
              <w:t>fusée haute puissance,</w:t>
            </w:r>
            <w:r w:rsidRPr="00A92CED">
              <w:rPr>
                <w:rFonts w:ascii="Calibri" w:hAnsi="Calibri" w:cs="Calibri"/>
                <w:lang w:val="fr-CA"/>
              </w:rPr>
              <w:br/>
              <w:t>(iii)</w:t>
            </w:r>
            <w:r w:rsidRPr="00A92CED">
              <w:rPr>
                <w:rFonts w:ascii="Calibri" w:hAnsi="Calibri" w:cs="Calibri"/>
                <w:b/>
                <w:bCs/>
                <w:lang w:val="fr-CA"/>
              </w:rPr>
              <w:t xml:space="preserve"> </w:t>
            </w:r>
            <w:r w:rsidRPr="00A92CED">
              <w:rPr>
                <w:rFonts w:ascii="Calibri" w:hAnsi="Calibri" w:cs="Calibri"/>
                <w:lang w:val="fr-CA"/>
              </w:rPr>
              <w:t>R.3 — accessoires pour moteur de fusée;</w:t>
            </w:r>
          </w:p>
        </w:tc>
        <w:tc>
          <w:tcPr>
            <w:tcW w:w="4076" w:type="dxa"/>
          </w:tcPr>
          <w:p w14:paraId="1F19DEB2" w14:textId="14B2D0E7" w:rsidR="003360EC" w:rsidRPr="00A92CED" w:rsidRDefault="003360EC" w:rsidP="003360EC">
            <w:pPr>
              <w:rPr>
                <w:rFonts w:ascii="Calibri" w:eastAsia="Times New Roman" w:hAnsi="Calibri" w:cs="Calibri"/>
                <w:lang w:val="fr-CA" w:eastAsia="en-CA"/>
              </w:rPr>
            </w:pPr>
            <w:r w:rsidRPr="00A92CED">
              <w:rPr>
                <w:rFonts w:ascii="Calibri" w:eastAsia="Times New Roman" w:hAnsi="Calibri" w:cs="Calibri"/>
                <w:lang w:val="fr-CA" w:eastAsia="en-CA"/>
              </w:rPr>
              <w:lastRenderedPageBreak/>
              <w:t>Modifier l</w:t>
            </w:r>
            <w:r w:rsidR="0030467D" w:rsidRPr="00A92CED">
              <w:rPr>
                <w:rFonts w:ascii="Calibri" w:eastAsia="Times New Roman" w:hAnsi="Calibri" w:cs="Calibri"/>
                <w:lang w:val="fr-CA" w:eastAsia="en-CA"/>
              </w:rPr>
              <w:t>’</w:t>
            </w:r>
            <w:r w:rsidRPr="00A92CED">
              <w:rPr>
                <w:rFonts w:ascii="Calibri" w:eastAsia="Times New Roman" w:hAnsi="Calibri" w:cs="Calibri"/>
                <w:lang w:val="fr-CA" w:eastAsia="en-CA"/>
              </w:rPr>
              <w:t>alinéa 36(2)g) pour ajouter la nouvelle catégorie ci-après de R – moteurs de fusée :</w:t>
            </w:r>
          </w:p>
          <w:p w14:paraId="5898D8B1" w14:textId="2DED4A84" w:rsidR="000E7DF7" w:rsidRPr="00A92CED" w:rsidRDefault="003360EC" w:rsidP="001E26FD">
            <w:pPr>
              <w:pStyle w:val="ListParagraph"/>
              <w:numPr>
                <w:ilvl w:val="0"/>
                <w:numId w:val="6"/>
              </w:numPr>
              <w:rPr>
                <w:rFonts w:ascii="Calibri" w:eastAsia="Times New Roman" w:hAnsi="Calibri" w:cs="Calibri"/>
                <w:lang w:val="fr-CA" w:eastAsia="en-CA"/>
              </w:rPr>
            </w:pPr>
            <w:r w:rsidRPr="00A92CED">
              <w:rPr>
                <w:rFonts w:ascii="Calibri" w:eastAsia="Times New Roman" w:hAnsi="Calibri" w:cs="Calibri"/>
                <w:lang w:val="fr-CA" w:eastAsia="en-CA"/>
              </w:rPr>
              <w:t>R.4 — moteurs de fusée haute puissance</w:t>
            </w:r>
            <w:r w:rsidR="000F6671" w:rsidRPr="00A92CED">
              <w:rPr>
                <w:rFonts w:ascii="Calibri" w:eastAsia="Times New Roman" w:hAnsi="Calibri" w:cs="Calibri"/>
                <w:lang w:val="fr-CA" w:eastAsia="en-CA"/>
              </w:rPr>
              <w:t xml:space="preserve"> avancés</w:t>
            </w:r>
            <w:r w:rsidRPr="00A92CED">
              <w:rPr>
                <w:rFonts w:ascii="Calibri" w:eastAsia="Times New Roman" w:hAnsi="Calibri" w:cs="Calibri"/>
                <w:lang w:val="fr-CA" w:eastAsia="en-CA"/>
              </w:rPr>
              <w:t>.</w:t>
            </w:r>
          </w:p>
        </w:tc>
        <w:tc>
          <w:tcPr>
            <w:tcW w:w="3143" w:type="dxa"/>
            <w:gridSpan w:val="2"/>
          </w:tcPr>
          <w:p w14:paraId="7ABDD763" w14:textId="4AC54142" w:rsidR="000E7DF7" w:rsidRPr="00A92CED" w:rsidRDefault="003360EC" w:rsidP="00513D08">
            <w:pPr>
              <w:rPr>
                <w:rFonts w:ascii="Calibri" w:hAnsi="Calibri" w:cs="Calibri"/>
                <w:lang w:val="fr-CA"/>
              </w:rPr>
            </w:pPr>
            <w:r w:rsidRPr="00A92CED">
              <w:rPr>
                <w:lang w:val="fr-CA"/>
              </w:rPr>
              <w:t>Cet amendement proposé vise à appuyer l</w:t>
            </w:r>
            <w:r w:rsidR="0030467D" w:rsidRPr="00A92CED">
              <w:rPr>
                <w:lang w:val="fr-CA"/>
              </w:rPr>
              <w:t>’</w:t>
            </w:r>
            <w:r w:rsidRPr="00A92CED">
              <w:rPr>
                <w:lang w:val="fr-CA"/>
              </w:rPr>
              <w:t>ajout d</w:t>
            </w:r>
            <w:r w:rsidR="0030467D" w:rsidRPr="00A92CED">
              <w:rPr>
                <w:lang w:val="fr-CA"/>
              </w:rPr>
              <w:t>’</w:t>
            </w:r>
            <w:r w:rsidRPr="00A92CED">
              <w:rPr>
                <w:lang w:val="fr-CA"/>
              </w:rPr>
              <w:t>une nouvelle section 3 à la partie 15 pour établir les exigences s</w:t>
            </w:r>
            <w:r w:rsidR="0030467D" w:rsidRPr="00A92CED">
              <w:rPr>
                <w:lang w:val="fr-CA"/>
              </w:rPr>
              <w:t>’</w:t>
            </w:r>
            <w:r w:rsidRPr="00A92CED">
              <w:rPr>
                <w:lang w:val="fr-CA"/>
              </w:rPr>
              <w:t>appliquant aux moteurs de fusée haute puissance</w:t>
            </w:r>
            <w:r w:rsidR="000F6671" w:rsidRPr="00A92CED">
              <w:rPr>
                <w:lang w:val="fr-CA"/>
              </w:rPr>
              <w:t xml:space="preserve"> avancés</w:t>
            </w:r>
            <w:r w:rsidRPr="00A92CED">
              <w:rPr>
                <w:lang w:val="fr-CA"/>
              </w:rPr>
              <w:t>.</w:t>
            </w:r>
          </w:p>
        </w:tc>
        <w:tc>
          <w:tcPr>
            <w:tcW w:w="3087" w:type="dxa"/>
          </w:tcPr>
          <w:p w14:paraId="5FFCF00B" w14:textId="77777777" w:rsidR="000E7DF7" w:rsidRPr="00A92CED" w:rsidRDefault="000E7DF7" w:rsidP="00513D08">
            <w:pPr>
              <w:rPr>
                <w:rFonts w:ascii="Calibri" w:hAnsi="Calibri" w:cs="Calibri"/>
                <w:lang w:val="fr-CA"/>
              </w:rPr>
            </w:pPr>
          </w:p>
        </w:tc>
      </w:tr>
      <w:tr w:rsidR="00A92CED" w:rsidRPr="00A92CED" w14:paraId="23D4A539" w14:textId="79EE9E4F" w:rsidTr="00F47EB0">
        <w:tc>
          <w:tcPr>
            <w:tcW w:w="17147" w:type="dxa"/>
            <w:gridSpan w:val="6"/>
            <w:shd w:val="clear" w:color="auto" w:fill="D9D9D9" w:themeFill="background1" w:themeFillShade="D9"/>
          </w:tcPr>
          <w:p w14:paraId="523C2A78" w14:textId="27E0EF85" w:rsidR="00A352C5" w:rsidRPr="00A92CED" w:rsidRDefault="00A352C5" w:rsidP="00817532">
            <w:pPr>
              <w:spacing w:before="60" w:after="60"/>
              <w:jc w:val="center"/>
              <w:rPr>
                <w:rFonts w:ascii="Arial" w:hAnsi="Arial" w:cs="Arial"/>
                <w:b/>
                <w:sz w:val="24"/>
                <w:szCs w:val="24"/>
                <w:lang w:val="fr-CA"/>
              </w:rPr>
            </w:pPr>
            <w:r w:rsidRPr="00A92CED">
              <w:rPr>
                <w:rFonts w:ascii="Arial" w:hAnsi="Arial" w:cs="Arial"/>
                <w:b/>
                <w:sz w:val="24"/>
                <w:szCs w:val="24"/>
                <w:lang w:val="fr-CA"/>
              </w:rPr>
              <w:t>PARTIE 4 – Importation, exportation et transport en transit d</w:t>
            </w:r>
            <w:r w:rsidR="0030467D" w:rsidRPr="00A92CED">
              <w:rPr>
                <w:rFonts w:ascii="Arial" w:hAnsi="Arial" w:cs="Arial"/>
                <w:b/>
                <w:sz w:val="24"/>
                <w:szCs w:val="24"/>
                <w:lang w:val="fr-CA"/>
              </w:rPr>
              <w:t>’</w:t>
            </w:r>
            <w:r w:rsidRPr="00A92CED">
              <w:rPr>
                <w:rFonts w:ascii="Arial" w:hAnsi="Arial" w:cs="Arial"/>
                <w:b/>
                <w:sz w:val="24"/>
                <w:szCs w:val="24"/>
                <w:lang w:val="fr-CA"/>
              </w:rPr>
              <w:t>explosifs</w:t>
            </w:r>
          </w:p>
        </w:tc>
      </w:tr>
      <w:tr w:rsidR="00A92CED" w:rsidRPr="00A92CED" w14:paraId="55BA07CB" w14:textId="69361B7A" w:rsidTr="00E10233">
        <w:tc>
          <w:tcPr>
            <w:tcW w:w="3126" w:type="dxa"/>
          </w:tcPr>
          <w:p w14:paraId="20EE56B1" w14:textId="77777777" w:rsidR="00FA05FB" w:rsidRPr="00A92CED" w:rsidRDefault="00FA05FB">
            <w:pPr>
              <w:pStyle w:val="ListParagraph"/>
              <w:numPr>
                <w:ilvl w:val="0"/>
                <w:numId w:val="1"/>
              </w:numPr>
              <w:rPr>
                <w:lang w:val="fr-CA"/>
              </w:rPr>
            </w:pPr>
          </w:p>
        </w:tc>
        <w:tc>
          <w:tcPr>
            <w:tcW w:w="3715" w:type="dxa"/>
          </w:tcPr>
          <w:p w14:paraId="56847709" w14:textId="77777777" w:rsidR="00FA05FB" w:rsidRPr="00A92CED" w:rsidRDefault="00B639AB" w:rsidP="00B639AB">
            <w:pPr>
              <w:rPr>
                <w:rFonts w:ascii="Calibri" w:hAnsi="Calibri" w:cs="Calibri"/>
                <w:b/>
                <w:bCs/>
                <w:lang w:val="fr-CA"/>
              </w:rPr>
            </w:pPr>
            <w:r w:rsidRPr="00A92CED">
              <w:rPr>
                <w:rFonts w:ascii="Calibri" w:hAnsi="Calibri" w:cs="Calibri"/>
                <w:b/>
                <w:lang w:val="fr-CA"/>
              </w:rPr>
              <w:t xml:space="preserve">45 </w:t>
            </w:r>
            <w:r w:rsidRPr="00A92CED">
              <w:rPr>
                <w:rFonts w:ascii="Calibri" w:hAnsi="Calibri" w:cs="Calibri"/>
                <w:b/>
                <w:bCs/>
                <w:lang w:val="fr-CA"/>
              </w:rPr>
              <w:t>TABLEAU</w:t>
            </w:r>
          </w:p>
          <w:p w14:paraId="6799D764" w14:textId="77777777" w:rsidR="00B639AB" w:rsidRPr="00A92CED" w:rsidRDefault="00B639AB" w:rsidP="00B639AB">
            <w:pPr>
              <w:rPr>
                <w:rFonts w:ascii="Calibri" w:hAnsi="Calibri" w:cs="Calibri"/>
                <w:lang w:val="fr-CA"/>
              </w:rPr>
            </w:pPr>
            <w:r w:rsidRPr="00A92CED">
              <w:rPr>
                <w:rFonts w:ascii="Calibri" w:hAnsi="Calibri" w:cs="Calibri"/>
                <w:lang w:val="fr-CA"/>
              </w:rPr>
              <w:t>Colonne 2 – Article 1</w:t>
            </w:r>
          </w:p>
          <w:p w14:paraId="728076E0" w14:textId="13E914B0" w:rsidR="00B639AB" w:rsidRPr="00A92CED" w:rsidRDefault="00B639AB" w:rsidP="00B639AB">
            <w:pPr>
              <w:rPr>
                <w:lang w:val="fr-CA"/>
              </w:rPr>
            </w:pPr>
            <w:r w:rsidRPr="00A92CED">
              <w:rPr>
                <w:rFonts w:ascii="Calibri" w:hAnsi="Calibri" w:cs="Calibri"/>
                <w:lang w:val="fr-CA"/>
              </w:rPr>
              <w:t>6</w:t>
            </w:r>
          </w:p>
        </w:tc>
        <w:tc>
          <w:tcPr>
            <w:tcW w:w="4076" w:type="dxa"/>
          </w:tcPr>
          <w:p w14:paraId="455D6084" w14:textId="5BB9ACF7" w:rsidR="00FA05FB" w:rsidRPr="00A92CED" w:rsidRDefault="00CA3DD0" w:rsidP="00817532">
            <w:pPr>
              <w:rPr>
                <w:lang w:val="fr-CA"/>
              </w:rPr>
            </w:pPr>
            <w:r w:rsidRPr="00A92CED">
              <w:rPr>
                <w:lang w:val="fr-CA"/>
              </w:rPr>
              <w:t>Modifier la colonne 2 de l</w:t>
            </w:r>
            <w:r w:rsidR="0030467D" w:rsidRPr="00A92CED">
              <w:rPr>
                <w:lang w:val="fr-CA"/>
              </w:rPr>
              <w:t>’</w:t>
            </w:r>
            <w:r w:rsidRPr="00A92CED">
              <w:rPr>
                <w:lang w:val="fr-CA"/>
              </w:rPr>
              <w:t>article 1 dans le tableau de l</w:t>
            </w:r>
            <w:r w:rsidR="0030467D" w:rsidRPr="00A92CED">
              <w:rPr>
                <w:lang w:val="fr-CA"/>
              </w:rPr>
              <w:t>’</w:t>
            </w:r>
            <w:r w:rsidRPr="00A92CED">
              <w:rPr>
                <w:lang w:val="fr-CA"/>
              </w:rPr>
              <w:t xml:space="preserve">article 45 pour remplacer </w:t>
            </w:r>
            <w:r w:rsidRPr="00A92CED">
              <w:rPr>
                <w:rFonts w:cstheme="minorHAnsi"/>
                <w:lang w:val="fr-CA"/>
              </w:rPr>
              <w:t>« 6 </w:t>
            </w:r>
            <w:r w:rsidRPr="00A92CED">
              <w:rPr>
                <w:rFonts w:ascii="Calibri" w:hAnsi="Calibri" w:cs="Calibri"/>
                <w:lang w:val="fr-CA"/>
              </w:rPr>
              <w:t xml:space="preserve">» par </w:t>
            </w:r>
            <w:r w:rsidRPr="00A92CED">
              <w:rPr>
                <w:rFonts w:cstheme="minorHAnsi"/>
                <w:lang w:val="fr-CA"/>
              </w:rPr>
              <w:t>« 40 </w:t>
            </w:r>
            <w:r w:rsidRPr="00A92CED">
              <w:rPr>
                <w:rFonts w:ascii="Calibri" w:hAnsi="Calibri" w:cs="Calibri"/>
                <w:lang w:val="fr-CA"/>
              </w:rPr>
              <w:t>».</w:t>
            </w:r>
          </w:p>
        </w:tc>
        <w:tc>
          <w:tcPr>
            <w:tcW w:w="3143" w:type="dxa"/>
            <w:gridSpan w:val="2"/>
          </w:tcPr>
          <w:p w14:paraId="2A4C8C95" w14:textId="605F431C" w:rsidR="00FA05FB" w:rsidRPr="00A92CED" w:rsidRDefault="00CA3DD0" w:rsidP="00817532">
            <w:pPr>
              <w:rPr>
                <w:lang w:val="fr-CA"/>
              </w:rPr>
            </w:pPr>
            <w:r w:rsidRPr="00A92CED">
              <w:rPr>
                <w:lang w:val="fr-CA"/>
              </w:rPr>
              <w:t>Cet amendement proposé appuie l</w:t>
            </w:r>
            <w:r w:rsidR="0030467D" w:rsidRPr="00A92CED">
              <w:rPr>
                <w:lang w:val="fr-CA"/>
              </w:rPr>
              <w:t>’</w:t>
            </w:r>
            <w:r w:rsidRPr="00A92CED">
              <w:rPr>
                <w:lang w:val="fr-CA"/>
              </w:rPr>
              <w:t>intention de la politique d</w:t>
            </w:r>
            <w:r w:rsidR="0030467D" w:rsidRPr="00A92CED">
              <w:rPr>
                <w:lang w:val="fr-CA"/>
              </w:rPr>
              <w:t>’</w:t>
            </w:r>
            <w:r w:rsidRPr="00A92CED">
              <w:rPr>
                <w:lang w:val="fr-CA"/>
              </w:rPr>
              <w:t>autoriser l</w:t>
            </w:r>
            <w:r w:rsidR="0030467D" w:rsidRPr="00A92CED">
              <w:rPr>
                <w:lang w:val="fr-CA"/>
              </w:rPr>
              <w:t>’</w:t>
            </w:r>
            <w:r w:rsidRPr="00A92CED">
              <w:rPr>
                <w:lang w:val="fr-CA"/>
              </w:rPr>
              <w:t>importation au Canada, l</w:t>
            </w:r>
            <w:r w:rsidR="0030467D" w:rsidRPr="00A92CED">
              <w:rPr>
                <w:lang w:val="fr-CA"/>
              </w:rPr>
              <w:t>’</w:t>
            </w:r>
            <w:r w:rsidRPr="00A92CED">
              <w:rPr>
                <w:lang w:val="fr-CA"/>
              </w:rPr>
              <w:t>exportation et le transport en transit sans permis d</w:t>
            </w:r>
            <w:r w:rsidR="0030467D" w:rsidRPr="00A92CED">
              <w:rPr>
                <w:lang w:val="fr-CA"/>
              </w:rPr>
              <w:t>’</w:t>
            </w:r>
            <w:r w:rsidRPr="00A92CED">
              <w:rPr>
                <w:lang w:val="fr-CA"/>
              </w:rPr>
              <w:t>au plus 40 moteurs de fusée miniature.</w:t>
            </w:r>
          </w:p>
        </w:tc>
        <w:tc>
          <w:tcPr>
            <w:tcW w:w="3087" w:type="dxa"/>
          </w:tcPr>
          <w:p w14:paraId="5BC90803" w14:textId="77777777" w:rsidR="00FA05FB" w:rsidRPr="00A92CED" w:rsidRDefault="00FA05FB" w:rsidP="00817532">
            <w:pPr>
              <w:rPr>
                <w:lang w:val="fr-CA"/>
              </w:rPr>
            </w:pPr>
          </w:p>
        </w:tc>
      </w:tr>
      <w:tr w:rsidR="00A92CED" w:rsidRPr="00A92CED" w14:paraId="4DF256B7" w14:textId="4A453C1F" w:rsidTr="00F47EB0">
        <w:tc>
          <w:tcPr>
            <w:tcW w:w="17147" w:type="dxa"/>
            <w:gridSpan w:val="6"/>
            <w:shd w:val="clear" w:color="auto" w:fill="D9D9D9" w:themeFill="background1" w:themeFillShade="D9"/>
          </w:tcPr>
          <w:p w14:paraId="5D2053B7" w14:textId="0BC30723" w:rsidR="00A352C5" w:rsidRPr="00A92CED" w:rsidRDefault="00A352C5" w:rsidP="00817532">
            <w:pPr>
              <w:pStyle w:val="Default"/>
              <w:spacing w:before="60" w:after="60"/>
              <w:jc w:val="center"/>
              <w:rPr>
                <w:rFonts w:ascii="Arial" w:hAnsi="Arial" w:cs="Arial"/>
                <w:b/>
                <w:color w:val="auto"/>
                <w:lang w:val="fr-CA"/>
              </w:rPr>
            </w:pPr>
            <w:r w:rsidRPr="00A92CED">
              <w:rPr>
                <w:rFonts w:ascii="Arial" w:hAnsi="Arial" w:cs="Arial"/>
                <w:b/>
                <w:color w:val="auto"/>
                <w:lang w:val="fr-CA"/>
              </w:rPr>
              <w:t>PARTIE 5 – Fabrication des explosifs</w:t>
            </w:r>
          </w:p>
        </w:tc>
      </w:tr>
      <w:tr w:rsidR="00A92CED" w:rsidRPr="00A92CED" w14:paraId="49788976" w14:textId="3C38873F" w:rsidTr="00F47EB0">
        <w:tc>
          <w:tcPr>
            <w:tcW w:w="17147" w:type="dxa"/>
            <w:gridSpan w:val="6"/>
            <w:shd w:val="clear" w:color="auto" w:fill="F2F2F2" w:themeFill="background1" w:themeFillShade="F2"/>
          </w:tcPr>
          <w:p w14:paraId="5FA947B6" w14:textId="73EA6007" w:rsidR="00A352C5" w:rsidRPr="00A92CED" w:rsidRDefault="00A352C5" w:rsidP="00817532">
            <w:pPr>
              <w:pStyle w:val="Default"/>
              <w:spacing w:before="60" w:after="60"/>
              <w:jc w:val="center"/>
              <w:rPr>
                <w:rFonts w:ascii="Arial" w:hAnsi="Arial" w:cs="Arial"/>
                <w:color w:val="auto"/>
                <w:lang w:val="fr-CA"/>
              </w:rPr>
            </w:pPr>
            <w:r w:rsidRPr="00A92CED">
              <w:rPr>
                <w:rFonts w:ascii="Arial" w:hAnsi="Arial" w:cs="Arial"/>
                <w:color w:val="auto"/>
                <w:lang w:val="fr-CA"/>
              </w:rPr>
              <w:t>Section 1 : Fabrication d</w:t>
            </w:r>
            <w:r w:rsidR="0030467D" w:rsidRPr="00A92CED">
              <w:rPr>
                <w:rFonts w:ascii="Arial" w:hAnsi="Arial" w:cs="Arial"/>
                <w:color w:val="auto"/>
                <w:lang w:val="fr-CA"/>
              </w:rPr>
              <w:t>’</w:t>
            </w:r>
            <w:r w:rsidRPr="00A92CED">
              <w:rPr>
                <w:rFonts w:ascii="Arial" w:hAnsi="Arial" w:cs="Arial"/>
                <w:color w:val="auto"/>
                <w:lang w:val="fr-CA"/>
              </w:rPr>
              <w:t>explosifs autorisée par une licence de fabrique de la section 1 ou par un certificat de site satellite</w:t>
            </w:r>
          </w:p>
        </w:tc>
      </w:tr>
      <w:tr w:rsidR="00A92CED" w:rsidRPr="00A92CED" w14:paraId="7255F788" w14:textId="7C310A6C" w:rsidTr="00E10233">
        <w:tc>
          <w:tcPr>
            <w:tcW w:w="3126" w:type="dxa"/>
          </w:tcPr>
          <w:p w14:paraId="0DCE7E78" w14:textId="77777777" w:rsidR="00FA05FB" w:rsidRPr="00A92CED" w:rsidRDefault="00FA05FB">
            <w:pPr>
              <w:pStyle w:val="ListParagraph"/>
              <w:numPr>
                <w:ilvl w:val="0"/>
                <w:numId w:val="1"/>
              </w:numPr>
              <w:jc w:val="center"/>
              <w:rPr>
                <w:lang w:val="fr-CA"/>
              </w:rPr>
            </w:pPr>
          </w:p>
        </w:tc>
        <w:tc>
          <w:tcPr>
            <w:tcW w:w="3715" w:type="dxa"/>
          </w:tcPr>
          <w:p w14:paraId="4FDBE35C" w14:textId="2E422BF8" w:rsidR="00FA05FB" w:rsidRPr="00A92CED" w:rsidRDefault="00FA05FB" w:rsidP="00817532">
            <w:pPr>
              <w:rPr>
                <w:rStyle w:val="fontstyle21"/>
                <w:rFonts w:ascii="Calibri" w:hAnsi="Calibri" w:cs="Calibri"/>
                <w:color w:val="auto"/>
                <w:sz w:val="22"/>
                <w:szCs w:val="22"/>
                <w:lang w:val="fr-CA"/>
              </w:rPr>
            </w:pPr>
            <w:r w:rsidRPr="00A92CED">
              <w:rPr>
                <w:rStyle w:val="fontstyle01"/>
                <w:rFonts w:ascii="Calibri" w:hAnsi="Calibri" w:cs="Calibri"/>
                <w:color w:val="auto"/>
                <w:sz w:val="22"/>
                <w:szCs w:val="22"/>
                <w:lang w:val="fr-CA"/>
              </w:rPr>
              <w:t xml:space="preserve">55 </w:t>
            </w:r>
            <w:r w:rsidRPr="00A92CED">
              <w:rPr>
                <w:rStyle w:val="fontstyle21"/>
                <w:rFonts w:ascii="Calibri" w:hAnsi="Calibri" w:cs="Calibri"/>
                <w:color w:val="auto"/>
                <w:sz w:val="22"/>
                <w:szCs w:val="22"/>
                <w:lang w:val="fr-CA"/>
              </w:rPr>
              <w:t>Les définitions qui suivent concernant les sites et les autorisations s</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appliquent à la présente section.</w:t>
            </w:r>
          </w:p>
          <w:p w14:paraId="5035025F" w14:textId="77777777" w:rsidR="00FA05FB" w:rsidRPr="00A92CED" w:rsidRDefault="00FA05FB" w:rsidP="00817532">
            <w:pPr>
              <w:rPr>
                <w:rStyle w:val="fontstyle21"/>
                <w:rFonts w:ascii="Calibri" w:hAnsi="Calibri" w:cs="Calibri"/>
                <w:color w:val="auto"/>
                <w:sz w:val="22"/>
                <w:szCs w:val="22"/>
                <w:lang w:val="fr-CA"/>
              </w:rPr>
            </w:pPr>
          </w:p>
          <w:p w14:paraId="4BC53FB1" w14:textId="2F10EF32" w:rsidR="00FA05FB" w:rsidRPr="00A92CED" w:rsidRDefault="00FA05FB" w:rsidP="00CA32B3">
            <w:pPr>
              <w:ind w:left="720"/>
              <w:rPr>
                <w:lang w:val="fr-CA"/>
              </w:rPr>
            </w:pPr>
            <w:r w:rsidRPr="00A92CED">
              <w:rPr>
                <w:rFonts w:ascii="Calibri" w:hAnsi="Calibri" w:cs="Calibri"/>
                <w:b/>
                <w:bCs/>
                <w:i/>
                <w:iCs/>
                <w:lang w:val="fr-CA"/>
              </w:rPr>
              <w:t xml:space="preserve">site client </w:t>
            </w:r>
            <w:r w:rsidRPr="00A92CED">
              <w:rPr>
                <w:rFonts w:ascii="Calibri" w:hAnsi="Calibri" w:cs="Calibri"/>
                <w:lang w:val="fr-CA"/>
              </w:rPr>
              <w:t>Site de sautage où une unité de fabrication mobile est utilisée pour fabriquer des explosifs et qui est situé à distance de la fabrique ou de tout site satellite. (</w:t>
            </w:r>
            <w:r w:rsidRPr="00A92CED">
              <w:rPr>
                <w:rFonts w:ascii="Calibri" w:hAnsi="Calibri" w:cs="Calibri"/>
                <w:i/>
                <w:iCs/>
                <w:lang w:val="fr-CA"/>
              </w:rPr>
              <w:t>client site</w:t>
            </w:r>
            <w:r w:rsidRPr="00A92CED">
              <w:rPr>
                <w:rFonts w:ascii="Calibri" w:hAnsi="Calibri" w:cs="Calibri"/>
                <w:lang w:val="fr-CA"/>
              </w:rPr>
              <w:t>)</w:t>
            </w:r>
          </w:p>
        </w:tc>
        <w:tc>
          <w:tcPr>
            <w:tcW w:w="4076" w:type="dxa"/>
          </w:tcPr>
          <w:p w14:paraId="79ED9E19" w14:textId="278F3E5F" w:rsidR="00A13819" w:rsidRPr="00A92CED" w:rsidRDefault="00A13819" w:rsidP="00A13819">
            <w:pPr>
              <w:rPr>
                <w:bCs/>
                <w:lang w:val="fr-CA"/>
              </w:rPr>
            </w:pPr>
            <w:r w:rsidRPr="00A92CED">
              <w:rPr>
                <w:bCs/>
                <w:lang w:val="fr-CA"/>
              </w:rPr>
              <w:t>Modifier l</w:t>
            </w:r>
            <w:r w:rsidR="0030467D" w:rsidRPr="00A92CED">
              <w:rPr>
                <w:bCs/>
                <w:lang w:val="fr-CA"/>
              </w:rPr>
              <w:t>’</w:t>
            </w:r>
            <w:r w:rsidRPr="00A92CED">
              <w:rPr>
                <w:bCs/>
                <w:lang w:val="fr-CA"/>
              </w:rPr>
              <w:t xml:space="preserve">article 55 pour remplacer la définition de </w:t>
            </w:r>
            <w:r w:rsidRPr="00A92CED">
              <w:rPr>
                <w:rFonts w:cstheme="minorHAnsi"/>
                <w:bCs/>
                <w:lang w:val="fr-CA"/>
              </w:rPr>
              <w:t>« site client </w:t>
            </w:r>
            <w:r w:rsidRPr="00A92CED">
              <w:rPr>
                <w:rFonts w:ascii="Calibri" w:hAnsi="Calibri" w:cs="Calibri"/>
                <w:bCs/>
                <w:lang w:val="fr-CA"/>
              </w:rPr>
              <w:t>» par la définition suivante :</w:t>
            </w:r>
          </w:p>
          <w:p w14:paraId="2BD724D6" w14:textId="77777777" w:rsidR="00A13819" w:rsidRPr="00A92CED" w:rsidRDefault="00A13819" w:rsidP="00A13819">
            <w:pPr>
              <w:rPr>
                <w:bCs/>
                <w:lang w:val="fr-CA"/>
              </w:rPr>
            </w:pPr>
          </w:p>
          <w:p w14:paraId="77ACF40A" w14:textId="2BBEA112" w:rsidR="00A13819" w:rsidRPr="00A92CED" w:rsidRDefault="00A13819" w:rsidP="00A13819">
            <w:pPr>
              <w:ind w:left="720"/>
              <w:rPr>
                <w:lang w:val="fr-CA"/>
              </w:rPr>
            </w:pPr>
            <w:r w:rsidRPr="00A92CED">
              <w:rPr>
                <w:b/>
                <w:bCs/>
                <w:i/>
                <w:iCs/>
                <w:lang w:val="fr-CA"/>
              </w:rPr>
              <w:t>site client</w:t>
            </w:r>
            <w:r w:rsidRPr="00A92CED">
              <w:rPr>
                <w:lang w:val="fr-CA"/>
              </w:rPr>
              <w:t xml:space="preserve"> </w:t>
            </w:r>
          </w:p>
          <w:p w14:paraId="0C5F253F" w14:textId="21D48912" w:rsidR="00A13819" w:rsidRPr="00A92CED" w:rsidRDefault="00A13819" w:rsidP="00A13819">
            <w:pPr>
              <w:pStyle w:val="ListParagraph"/>
              <w:numPr>
                <w:ilvl w:val="0"/>
                <w:numId w:val="3"/>
              </w:numPr>
              <w:rPr>
                <w:lang w:val="fr-CA"/>
              </w:rPr>
            </w:pPr>
            <w:r w:rsidRPr="00A92CED">
              <w:rPr>
                <w:lang w:val="fr-CA"/>
              </w:rPr>
              <w:t xml:space="preserve">Site de sautage où une unité de fabrication mobile est utilisée pour fabriquer des explosifs et qui est situé </w:t>
            </w:r>
            <w:r w:rsidR="009A5E79" w:rsidRPr="00A92CED">
              <w:rPr>
                <w:lang w:val="fr-CA"/>
              </w:rPr>
              <w:t>à distance de la fabrique ou de tout site satellite</w:t>
            </w:r>
          </w:p>
          <w:p w14:paraId="69294A68" w14:textId="0B30DD58" w:rsidR="00FA05FB" w:rsidRPr="00A92CED" w:rsidRDefault="009A5E79" w:rsidP="00A13819">
            <w:pPr>
              <w:pStyle w:val="ListParagraph"/>
              <w:numPr>
                <w:ilvl w:val="0"/>
                <w:numId w:val="3"/>
              </w:numPr>
              <w:rPr>
                <w:lang w:val="fr-CA"/>
              </w:rPr>
            </w:pPr>
            <w:r w:rsidRPr="00A92CED">
              <w:rPr>
                <w:lang w:val="fr-CA"/>
              </w:rPr>
              <w:t>Site où sont fabriqués des perforateurs à charge creuse au point d</w:t>
            </w:r>
            <w:r w:rsidR="0030467D" w:rsidRPr="00A92CED">
              <w:rPr>
                <w:lang w:val="fr-CA"/>
              </w:rPr>
              <w:t>’</w:t>
            </w:r>
            <w:r w:rsidRPr="00A92CED">
              <w:rPr>
                <w:lang w:val="fr-CA"/>
              </w:rPr>
              <w:t xml:space="preserve">utilisation. </w:t>
            </w:r>
            <w:r w:rsidR="00A13819" w:rsidRPr="00A92CED">
              <w:rPr>
                <w:lang w:val="fr-CA"/>
              </w:rPr>
              <w:t> </w:t>
            </w:r>
          </w:p>
        </w:tc>
        <w:tc>
          <w:tcPr>
            <w:tcW w:w="3143" w:type="dxa"/>
            <w:gridSpan w:val="2"/>
          </w:tcPr>
          <w:p w14:paraId="70186134" w14:textId="5935A959" w:rsidR="00FA05FB" w:rsidRPr="00A92CED" w:rsidRDefault="009A5E79" w:rsidP="00817532">
            <w:pPr>
              <w:rPr>
                <w:b/>
                <w:lang w:val="fr-CA"/>
              </w:rPr>
            </w:pPr>
            <w:r w:rsidRPr="00A92CED">
              <w:rPr>
                <w:lang w:val="fr-CA"/>
              </w:rPr>
              <w:t>Les amendements proposés visent à moderniser les exigences s</w:t>
            </w:r>
            <w:r w:rsidR="0030467D" w:rsidRPr="00A92CED">
              <w:rPr>
                <w:lang w:val="fr-CA"/>
              </w:rPr>
              <w:t>’</w:t>
            </w:r>
            <w:r w:rsidRPr="00A92CED">
              <w:rPr>
                <w:lang w:val="fr-CA"/>
              </w:rPr>
              <w:t>appliquant à la fabrication au point d</w:t>
            </w:r>
            <w:r w:rsidR="0030467D" w:rsidRPr="00A92CED">
              <w:rPr>
                <w:lang w:val="fr-CA"/>
              </w:rPr>
              <w:t>’</w:t>
            </w:r>
            <w:r w:rsidRPr="00A92CED">
              <w:rPr>
                <w:lang w:val="fr-CA"/>
              </w:rPr>
              <w:t>utilisation de perforateurs à charge creuse.</w:t>
            </w:r>
          </w:p>
        </w:tc>
        <w:tc>
          <w:tcPr>
            <w:tcW w:w="3087" w:type="dxa"/>
          </w:tcPr>
          <w:p w14:paraId="0069D45D" w14:textId="77777777" w:rsidR="00FA05FB" w:rsidRPr="00A92CED" w:rsidRDefault="00FA05FB" w:rsidP="00817532">
            <w:pPr>
              <w:rPr>
                <w:b/>
                <w:lang w:val="fr-CA"/>
              </w:rPr>
            </w:pPr>
          </w:p>
        </w:tc>
      </w:tr>
      <w:tr w:rsidR="00A92CED" w:rsidRPr="00A92CED" w14:paraId="63B4D6A5" w14:textId="7704A276" w:rsidTr="00E10233">
        <w:tc>
          <w:tcPr>
            <w:tcW w:w="3126" w:type="dxa"/>
          </w:tcPr>
          <w:p w14:paraId="32999FD3" w14:textId="77777777" w:rsidR="00FA05FB" w:rsidRPr="00A92CED" w:rsidRDefault="00FA05FB">
            <w:pPr>
              <w:pStyle w:val="ListParagraph"/>
              <w:numPr>
                <w:ilvl w:val="0"/>
                <w:numId w:val="1"/>
              </w:numPr>
              <w:jc w:val="center"/>
              <w:rPr>
                <w:lang w:val="fr-CA"/>
              </w:rPr>
            </w:pPr>
          </w:p>
        </w:tc>
        <w:tc>
          <w:tcPr>
            <w:tcW w:w="3715" w:type="dxa"/>
          </w:tcPr>
          <w:p w14:paraId="37433BB4" w14:textId="77777777" w:rsidR="00FA05FB" w:rsidRPr="00A92CED" w:rsidRDefault="00FA05FB" w:rsidP="00817532">
            <w:pPr>
              <w:rPr>
                <w:rFonts w:ascii="Calibri" w:hAnsi="Calibri" w:cs="Calibri"/>
                <w:lang w:val="fr-CA"/>
              </w:rPr>
            </w:pPr>
            <w:r w:rsidRPr="00A92CED">
              <w:rPr>
                <w:rFonts w:ascii="Calibri" w:hAnsi="Calibri" w:cs="Calibri"/>
                <w:b/>
                <w:bCs/>
                <w:lang w:val="fr-CA"/>
              </w:rPr>
              <w:t xml:space="preserve">60 </w:t>
            </w:r>
            <w:r w:rsidRPr="00A92CED">
              <w:rPr>
                <w:rFonts w:ascii="Calibri" w:hAnsi="Calibri" w:cs="Calibri"/>
                <w:lang w:val="fr-CA"/>
              </w:rPr>
              <w:t>(2)</w:t>
            </w:r>
            <w:r w:rsidRPr="00A92CED">
              <w:rPr>
                <w:rFonts w:ascii="Calibri" w:hAnsi="Calibri" w:cs="Calibri"/>
                <w:b/>
                <w:bCs/>
                <w:lang w:val="fr-CA"/>
              </w:rPr>
              <w:t xml:space="preserve"> </w:t>
            </w:r>
            <w:r w:rsidRPr="00A92CED">
              <w:rPr>
                <w:rFonts w:ascii="Calibri" w:hAnsi="Calibri" w:cs="Calibri"/>
                <w:lang w:val="fr-CA"/>
              </w:rPr>
              <w:t>La demande contient les documents suivants :</w:t>
            </w:r>
            <w:r w:rsidRPr="00A92CED">
              <w:rPr>
                <w:rFonts w:ascii="Calibri" w:hAnsi="Calibri" w:cs="Calibri"/>
                <w:lang w:val="fr-CA"/>
              </w:rPr>
              <w:br/>
            </w:r>
          </w:p>
          <w:p w14:paraId="6E5B6604" w14:textId="43658809" w:rsidR="00FA05FB" w:rsidRPr="00A92CED" w:rsidRDefault="00FA05FB" w:rsidP="00C51F6C">
            <w:pPr>
              <w:ind w:left="720"/>
              <w:rPr>
                <w:rFonts w:ascii="Calibri" w:hAnsi="Calibri" w:cs="Calibri"/>
                <w:b/>
                <w:bCs/>
                <w:lang w:val="fr-CA"/>
              </w:rPr>
            </w:pPr>
            <w:r w:rsidRPr="00A92CED">
              <w:rPr>
                <w:rFonts w:ascii="Calibri" w:hAnsi="Calibri" w:cs="Calibri"/>
                <w:lang w:val="fr-CA"/>
              </w:rPr>
              <w:lastRenderedPageBreak/>
              <w:t>a)</w:t>
            </w:r>
            <w:r w:rsidRPr="00A92CED">
              <w:rPr>
                <w:rFonts w:ascii="Calibri" w:hAnsi="Calibri" w:cs="Calibri"/>
                <w:b/>
                <w:bCs/>
                <w:lang w:val="fr-CA"/>
              </w:rPr>
              <w:t xml:space="preserve"> </w:t>
            </w:r>
            <w:r w:rsidRPr="00A92CED">
              <w:rPr>
                <w:rFonts w:ascii="Calibri" w:hAnsi="Calibri" w:cs="Calibri"/>
                <w:lang w:val="fr-CA"/>
              </w:rPr>
              <w:t>un plan de la fabrique ou du site satellite et du secteur qui indique :</w:t>
            </w:r>
          </w:p>
          <w:p w14:paraId="4A953040" w14:textId="295649D6" w:rsidR="00FA05FB" w:rsidRPr="00A92CED" w:rsidRDefault="00FA05FB" w:rsidP="00C51F6C">
            <w:pPr>
              <w:ind w:left="1440"/>
              <w:rPr>
                <w:rFonts w:ascii="Calibri" w:hAnsi="Calibri" w:cs="Calibri"/>
                <w:b/>
                <w:bCs/>
                <w:lang w:val="fr-CA"/>
              </w:rPr>
            </w:pPr>
            <w:r w:rsidRPr="00A92CED">
              <w:rPr>
                <w:rFonts w:ascii="Calibri" w:hAnsi="Calibri" w:cs="Calibri"/>
                <w:lang w:val="fr-CA"/>
              </w:rPr>
              <w:t>(i)</w:t>
            </w:r>
            <w:r w:rsidRPr="00A92CED">
              <w:rPr>
                <w:rFonts w:ascii="Calibri" w:hAnsi="Calibri" w:cs="Calibri"/>
                <w:b/>
                <w:bCs/>
                <w:lang w:val="fr-CA"/>
              </w:rPr>
              <w:t xml:space="preserve"> </w:t>
            </w:r>
            <w:r w:rsidRPr="00A92CED">
              <w:rPr>
                <w:rFonts w:ascii="Calibri" w:hAnsi="Calibri" w:cs="Calibri"/>
                <w:lang w:val="fr-CA"/>
              </w:rPr>
              <w:t>la topographie de la fabrique ou du site satellite,</w:t>
            </w:r>
          </w:p>
        </w:tc>
        <w:tc>
          <w:tcPr>
            <w:tcW w:w="4076" w:type="dxa"/>
          </w:tcPr>
          <w:p w14:paraId="5868F5D8" w14:textId="16588DC3" w:rsidR="00FA05FB" w:rsidRPr="00A92CED" w:rsidRDefault="004F283B" w:rsidP="00817532">
            <w:pPr>
              <w:rPr>
                <w:lang w:val="fr-CA"/>
              </w:rPr>
            </w:pPr>
            <w:r w:rsidRPr="00A92CED">
              <w:rPr>
                <w:bCs/>
                <w:lang w:val="fr-CA"/>
              </w:rPr>
              <w:lastRenderedPageBreak/>
              <w:t>Modifier l</w:t>
            </w:r>
            <w:r w:rsidR="0030467D" w:rsidRPr="00A92CED">
              <w:rPr>
                <w:bCs/>
                <w:lang w:val="fr-CA"/>
              </w:rPr>
              <w:t>’</w:t>
            </w:r>
            <w:r w:rsidRPr="00A92CED">
              <w:rPr>
                <w:bCs/>
                <w:lang w:val="fr-CA"/>
              </w:rPr>
              <w:t>alinéa 60(2)a) pour supprimer le sous-alinéa (i).</w:t>
            </w:r>
          </w:p>
        </w:tc>
        <w:tc>
          <w:tcPr>
            <w:tcW w:w="3143" w:type="dxa"/>
            <w:gridSpan w:val="2"/>
          </w:tcPr>
          <w:p w14:paraId="4DAC3D34" w14:textId="5442C055" w:rsidR="00FA05FB" w:rsidRPr="00A92CED" w:rsidRDefault="004F283B" w:rsidP="00817532">
            <w:pPr>
              <w:rPr>
                <w:b/>
                <w:lang w:val="fr-CA"/>
              </w:rPr>
            </w:pPr>
            <w:r w:rsidRPr="00A92CED">
              <w:rPr>
                <w:lang w:val="fr-CA"/>
              </w:rPr>
              <w:t>Cet amendement proposé vise à supprimer une exigence qui n</w:t>
            </w:r>
            <w:r w:rsidR="0030467D" w:rsidRPr="00A92CED">
              <w:rPr>
                <w:lang w:val="fr-CA"/>
              </w:rPr>
              <w:t>’</w:t>
            </w:r>
            <w:r w:rsidRPr="00A92CED">
              <w:rPr>
                <w:lang w:val="fr-CA"/>
              </w:rPr>
              <w:t>est pas nécessaire dans le cadre de la demande.</w:t>
            </w:r>
          </w:p>
        </w:tc>
        <w:tc>
          <w:tcPr>
            <w:tcW w:w="3087" w:type="dxa"/>
          </w:tcPr>
          <w:p w14:paraId="07D98F4B" w14:textId="77777777" w:rsidR="00FA05FB" w:rsidRPr="00A92CED" w:rsidRDefault="00FA05FB" w:rsidP="00817532">
            <w:pPr>
              <w:rPr>
                <w:b/>
                <w:lang w:val="fr-CA"/>
              </w:rPr>
            </w:pPr>
          </w:p>
        </w:tc>
      </w:tr>
      <w:tr w:rsidR="00A92CED" w:rsidRPr="00A92CED" w14:paraId="65528E42" w14:textId="08E664CB" w:rsidTr="00E10233">
        <w:tc>
          <w:tcPr>
            <w:tcW w:w="3126" w:type="dxa"/>
          </w:tcPr>
          <w:p w14:paraId="6849BC9B" w14:textId="77777777" w:rsidR="00FA05FB" w:rsidRPr="00A92CED" w:rsidRDefault="00FA05FB">
            <w:pPr>
              <w:pStyle w:val="ListParagraph"/>
              <w:numPr>
                <w:ilvl w:val="0"/>
                <w:numId w:val="1"/>
              </w:numPr>
              <w:jc w:val="center"/>
              <w:rPr>
                <w:lang w:val="fr-CA"/>
              </w:rPr>
            </w:pPr>
          </w:p>
        </w:tc>
        <w:tc>
          <w:tcPr>
            <w:tcW w:w="3715" w:type="dxa"/>
          </w:tcPr>
          <w:p w14:paraId="67691858" w14:textId="61BC70DB" w:rsidR="00FA05FB" w:rsidRPr="00A92CED" w:rsidRDefault="00FA05FB" w:rsidP="00817532">
            <w:pPr>
              <w:rPr>
                <w:rStyle w:val="fontstyle01"/>
                <w:rFonts w:ascii="Calibri" w:hAnsi="Calibri" w:cs="Calibri"/>
                <w:b w:val="0"/>
                <w:bCs w:val="0"/>
                <w:color w:val="auto"/>
                <w:sz w:val="22"/>
                <w:szCs w:val="22"/>
                <w:lang w:val="fr-CA"/>
              </w:rPr>
            </w:pPr>
            <w:r w:rsidRPr="00A92CED">
              <w:rPr>
                <w:rStyle w:val="fontstyle01"/>
                <w:rFonts w:ascii="Calibri" w:hAnsi="Calibri" w:cs="Calibri"/>
                <w:color w:val="auto"/>
                <w:sz w:val="22"/>
                <w:szCs w:val="22"/>
                <w:lang w:val="fr-CA"/>
              </w:rPr>
              <w:t xml:space="preserve">60 </w:t>
            </w:r>
            <w:r w:rsidRPr="00A92CED">
              <w:rPr>
                <w:rStyle w:val="fontstyle01"/>
                <w:rFonts w:ascii="Calibri" w:hAnsi="Calibri" w:cs="Calibri"/>
                <w:b w:val="0"/>
                <w:bCs w:val="0"/>
                <w:color w:val="auto"/>
                <w:sz w:val="22"/>
                <w:szCs w:val="22"/>
                <w:lang w:val="fr-CA"/>
              </w:rPr>
              <w:t>(4)</w:t>
            </w:r>
            <w:r w:rsidRPr="00A92CED">
              <w:rPr>
                <w:rStyle w:val="fontstyle01"/>
                <w:rFonts w:ascii="Calibri" w:hAnsi="Calibri" w:cs="Calibri"/>
                <w:color w:val="auto"/>
                <w:sz w:val="22"/>
                <w:szCs w:val="22"/>
                <w:lang w:val="fr-CA"/>
              </w:rPr>
              <w:t xml:space="preserve"> </w:t>
            </w:r>
            <w:r w:rsidRPr="00A92CED">
              <w:rPr>
                <w:rStyle w:val="fontstyle21"/>
                <w:rFonts w:ascii="Calibri" w:hAnsi="Calibri" w:cs="Calibri"/>
                <w:color w:val="auto"/>
                <w:sz w:val="22"/>
                <w:szCs w:val="22"/>
                <w:lang w:val="fr-CA"/>
              </w:rPr>
              <w:t>Dans le cas où la fabrication sera effectuée sur un site client, la demande contient les renseignements suivants :</w:t>
            </w:r>
          </w:p>
          <w:p w14:paraId="6FD566D0" w14:textId="78ED1EE5" w:rsidR="00FA05FB" w:rsidRPr="00A92CED" w:rsidRDefault="00FA05FB" w:rsidP="00D52726">
            <w:pPr>
              <w:ind w:left="720"/>
              <w:rPr>
                <w:rStyle w:val="fontstyle01"/>
                <w:rFonts w:ascii="Calibri" w:hAnsi="Calibri" w:cs="Calibri"/>
                <w:color w:val="auto"/>
                <w:sz w:val="22"/>
                <w:szCs w:val="22"/>
                <w:lang w:val="fr-CA"/>
              </w:rPr>
            </w:pPr>
            <w:r w:rsidRPr="00A92CED">
              <w:rPr>
                <w:rStyle w:val="fontstyle01"/>
                <w:rFonts w:ascii="Calibri" w:hAnsi="Calibri" w:cs="Calibri"/>
                <w:b w:val="0"/>
                <w:bCs w:val="0"/>
                <w:color w:val="auto"/>
                <w:sz w:val="22"/>
                <w:szCs w:val="22"/>
                <w:lang w:val="fr-CA"/>
              </w:rPr>
              <w:t xml:space="preserve">a) </w:t>
            </w:r>
            <w:r w:rsidRPr="00A92CED">
              <w:rPr>
                <w:rStyle w:val="fontstyle21"/>
                <w:rFonts w:ascii="Calibri" w:hAnsi="Calibri" w:cs="Calibri"/>
                <w:color w:val="auto"/>
                <w:sz w:val="22"/>
                <w:szCs w:val="22"/>
                <w:lang w:val="fr-CA"/>
              </w:rPr>
              <w:t>les nom, adresse, numéro de téléphone, numéro de télécopieur et adresse électronique de la personne-ressource au site client;</w:t>
            </w:r>
            <w:r w:rsidRPr="00A92CED">
              <w:rPr>
                <w:rFonts w:ascii="Calibri" w:hAnsi="Calibri" w:cs="Calibri"/>
                <w:lang w:val="fr-CA"/>
              </w:rPr>
              <w:br/>
            </w:r>
            <w:r w:rsidRPr="00A92CED">
              <w:rPr>
                <w:rStyle w:val="fontstyle01"/>
                <w:rFonts w:ascii="Calibri" w:hAnsi="Calibri" w:cs="Calibri"/>
                <w:b w:val="0"/>
                <w:bCs w:val="0"/>
                <w:color w:val="auto"/>
                <w:sz w:val="22"/>
                <w:szCs w:val="22"/>
                <w:lang w:val="fr-CA"/>
              </w:rPr>
              <w:t>b)</w:t>
            </w:r>
            <w:r w:rsidRPr="00A92CED">
              <w:rPr>
                <w:rStyle w:val="fontstyle01"/>
                <w:rFonts w:ascii="Calibri" w:hAnsi="Calibri" w:cs="Calibri"/>
                <w:color w:val="auto"/>
                <w:sz w:val="22"/>
                <w:szCs w:val="22"/>
                <w:lang w:val="fr-CA"/>
              </w:rPr>
              <w:t xml:space="preserve"> </w:t>
            </w:r>
            <w:r w:rsidRPr="00A92CED">
              <w:rPr>
                <w:rStyle w:val="fontstyle21"/>
                <w:rFonts w:ascii="Calibri" w:hAnsi="Calibri" w:cs="Calibri"/>
                <w:color w:val="auto"/>
                <w:sz w:val="22"/>
                <w:szCs w:val="22"/>
                <w:lang w:val="fr-CA"/>
              </w:rPr>
              <w:t>une description du site client;</w:t>
            </w:r>
            <w:r w:rsidRPr="00A92CED">
              <w:rPr>
                <w:rFonts w:ascii="Calibri" w:hAnsi="Calibri" w:cs="Calibri"/>
                <w:lang w:val="fr-CA"/>
              </w:rPr>
              <w:br/>
            </w:r>
            <w:r w:rsidRPr="00A92CED">
              <w:rPr>
                <w:rStyle w:val="fontstyle01"/>
                <w:rFonts w:ascii="Calibri" w:hAnsi="Calibri" w:cs="Calibri"/>
                <w:b w:val="0"/>
                <w:bCs w:val="0"/>
                <w:color w:val="auto"/>
                <w:sz w:val="22"/>
                <w:szCs w:val="22"/>
                <w:lang w:val="fr-CA"/>
              </w:rPr>
              <w:t>c)</w:t>
            </w:r>
            <w:r w:rsidRPr="00A92CED">
              <w:rPr>
                <w:rStyle w:val="fontstyle01"/>
                <w:rFonts w:ascii="Calibri" w:hAnsi="Calibri" w:cs="Calibri"/>
                <w:color w:val="auto"/>
                <w:sz w:val="22"/>
                <w:szCs w:val="22"/>
                <w:lang w:val="fr-CA"/>
              </w:rPr>
              <w:t xml:space="preserve"> </w:t>
            </w:r>
            <w:r w:rsidRPr="00A92CED">
              <w:rPr>
                <w:rStyle w:val="fontstyle21"/>
                <w:rFonts w:ascii="Calibri" w:hAnsi="Calibri" w:cs="Calibri"/>
                <w:color w:val="auto"/>
                <w:sz w:val="22"/>
                <w:szCs w:val="22"/>
                <w:lang w:val="fr-CA"/>
              </w:rPr>
              <w:t>la distance en kilomètres entre la fabrique et le site client;</w:t>
            </w:r>
            <w:r w:rsidRPr="00A92CED">
              <w:rPr>
                <w:rFonts w:ascii="Calibri" w:hAnsi="Calibri" w:cs="Calibri"/>
                <w:lang w:val="fr-CA"/>
              </w:rPr>
              <w:br/>
            </w:r>
            <w:r w:rsidRPr="00A92CED">
              <w:rPr>
                <w:rStyle w:val="fontstyle01"/>
                <w:rFonts w:ascii="Calibri" w:hAnsi="Calibri" w:cs="Calibri"/>
                <w:b w:val="0"/>
                <w:bCs w:val="0"/>
                <w:color w:val="auto"/>
                <w:sz w:val="22"/>
                <w:szCs w:val="22"/>
                <w:lang w:val="fr-CA"/>
              </w:rPr>
              <w:t>d)</w:t>
            </w:r>
            <w:r w:rsidRPr="00A92CED">
              <w:rPr>
                <w:rStyle w:val="fontstyle01"/>
                <w:rFonts w:ascii="Calibri" w:hAnsi="Calibri" w:cs="Calibri"/>
                <w:color w:val="auto"/>
                <w:sz w:val="22"/>
                <w:szCs w:val="22"/>
                <w:lang w:val="fr-CA"/>
              </w:rPr>
              <w:t xml:space="preserve"> </w:t>
            </w:r>
            <w:r w:rsidRPr="00A92CED">
              <w:rPr>
                <w:rStyle w:val="fontstyle21"/>
                <w:rFonts w:ascii="Calibri" w:hAnsi="Calibri" w:cs="Calibri"/>
                <w:color w:val="auto"/>
                <w:sz w:val="22"/>
                <w:szCs w:val="22"/>
                <w:lang w:val="fr-CA"/>
              </w:rPr>
              <w:t>la distance en kilomètres entre tout site satellite et le site client.</w:t>
            </w:r>
          </w:p>
        </w:tc>
        <w:tc>
          <w:tcPr>
            <w:tcW w:w="4076" w:type="dxa"/>
          </w:tcPr>
          <w:p w14:paraId="68D637F7" w14:textId="72910E51" w:rsidR="00FA05FB" w:rsidRPr="00A92CED" w:rsidRDefault="000D0A81" w:rsidP="00817532">
            <w:pPr>
              <w:rPr>
                <w:lang w:val="fr-CA"/>
              </w:rPr>
            </w:pPr>
            <w:r w:rsidRPr="00A92CED">
              <w:rPr>
                <w:bCs/>
                <w:lang w:val="fr-CA"/>
              </w:rPr>
              <w:t>Modifier le paragraphe 60(4) pour préciser</w:t>
            </w:r>
            <w:r w:rsidR="00E006E1" w:rsidRPr="00A92CED">
              <w:rPr>
                <w:bCs/>
                <w:lang w:val="fr-CA"/>
              </w:rPr>
              <w:t xml:space="preserve"> que, dans le cas où le fabrication d</w:t>
            </w:r>
            <w:r w:rsidR="0030467D" w:rsidRPr="00A92CED">
              <w:rPr>
                <w:bCs/>
                <w:lang w:val="fr-CA"/>
              </w:rPr>
              <w:t>’</w:t>
            </w:r>
            <w:r w:rsidR="00E006E1" w:rsidRPr="00A92CED">
              <w:rPr>
                <w:bCs/>
                <w:lang w:val="fr-CA"/>
              </w:rPr>
              <w:t xml:space="preserve">explosifs autres que des perforateurs à charge creuse sera effectuée </w:t>
            </w:r>
            <w:r w:rsidR="00D76AC7" w:rsidRPr="00A92CED">
              <w:rPr>
                <w:bCs/>
                <w:lang w:val="fr-CA"/>
              </w:rPr>
              <w:t xml:space="preserve">sur </w:t>
            </w:r>
            <w:r w:rsidR="00E006E1" w:rsidRPr="00A92CED">
              <w:rPr>
                <w:bCs/>
                <w:lang w:val="fr-CA"/>
              </w:rPr>
              <w:t>un site client, la demande contient les renseignements énoncés aux alinéas a) à d) du paragraphe 60(4).</w:t>
            </w:r>
          </w:p>
        </w:tc>
        <w:tc>
          <w:tcPr>
            <w:tcW w:w="3143" w:type="dxa"/>
            <w:gridSpan w:val="2"/>
          </w:tcPr>
          <w:p w14:paraId="7D2DE90D" w14:textId="781F909C" w:rsidR="00FA05FB" w:rsidRPr="00A92CED" w:rsidRDefault="00E006E1" w:rsidP="00817532">
            <w:pPr>
              <w:rPr>
                <w:b/>
                <w:lang w:val="fr-CA"/>
              </w:rPr>
            </w:pPr>
            <w:r w:rsidRPr="00A92CED">
              <w:rPr>
                <w:lang w:val="fr-CA"/>
              </w:rPr>
              <w:t>Les amendements proposés visent à moderniser les exigences s</w:t>
            </w:r>
            <w:r w:rsidR="0030467D" w:rsidRPr="00A92CED">
              <w:rPr>
                <w:lang w:val="fr-CA"/>
              </w:rPr>
              <w:t>’</w:t>
            </w:r>
            <w:r w:rsidRPr="00A92CED">
              <w:rPr>
                <w:lang w:val="fr-CA"/>
              </w:rPr>
              <w:t>appliquant à la fabrication au point d</w:t>
            </w:r>
            <w:r w:rsidR="0030467D" w:rsidRPr="00A92CED">
              <w:rPr>
                <w:lang w:val="fr-CA"/>
              </w:rPr>
              <w:t>’</w:t>
            </w:r>
            <w:r w:rsidRPr="00A92CED">
              <w:rPr>
                <w:lang w:val="fr-CA"/>
              </w:rPr>
              <w:t>utilisation de perforateurs à charge creuse.</w:t>
            </w:r>
          </w:p>
        </w:tc>
        <w:tc>
          <w:tcPr>
            <w:tcW w:w="3087" w:type="dxa"/>
          </w:tcPr>
          <w:p w14:paraId="09B56F08" w14:textId="77777777" w:rsidR="00FA05FB" w:rsidRPr="00A92CED" w:rsidRDefault="00FA05FB" w:rsidP="00817532">
            <w:pPr>
              <w:rPr>
                <w:b/>
                <w:lang w:val="fr-CA"/>
              </w:rPr>
            </w:pPr>
          </w:p>
        </w:tc>
      </w:tr>
      <w:tr w:rsidR="00A92CED" w:rsidRPr="00A92CED" w14:paraId="11DA64E0" w14:textId="10712AA0" w:rsidTr="00E10233">
        <w:tc>
          <w:tcPr>
            <w:tcW w:w="3126" w:type="dxa"/>
          </w:tcPr>
          <w:p w14:paraId="54349F39" w14:textId="77777777" w:rsidR="00FA05FB" w:rsidRPr="00A92CED" w:rsidRDefault="00FA05FB">
            <w:pPr>
              <w:pStyle w:val="ListParagraph"/>
              <w:numPr>
                <w:ilvl w:val="0"/>
                <w:numId w:val="1"/>
              </w:numPr>
              <w:jc w:val="center"/>
              <w:rPr>
                <w:lang w:val="fr-CA"/>
              </w:rPr>
            </w:pPr>
          </w:p>
        </w:tc>
        <w:tc>
          <w:tcPr>
            <w:tcW w:w="3715" w:type="dxa"/>
          </w:tcPr>
          <w:p w14:paraId="3E9696E1" w14:textId="77777777" w:rsidR="00FA05FB" w:rsidRPr="00A92CED" w:rsidRDefault="00FA05FB" w:rsidP="00077EDC">
            <w:pPr>
              <w:rPr>
                <w:rStyle w:val="fontstyle01"/>
                <w:rFonts w:ascii="Calibri" w:hAnsi="Calibri" w:cs="Calibri"/>
                <w:b w:val="0"/>
                <w:bCs w:val="0"/>
                <w:color w:val="auto"/>
                <w:sz w:val="22"/>
                <w:szCs w:val="22"/>
                <w:lang w:val="fr-CA"/>
              </w:rPr>
            </w:pPr>
            <w:r w:rsidRPr="00A92CED">
              <w:rPr>
                <w:rStyle w:val="fontstyle01"/>
                <w:rFonts w:ascii="Calibri" w:hAnsi="Calibri" w:cs="Calibri"/>
                <w:color w:val="auto"/>
                <w:sz w:val="22"/>
                <w:szCs w:val="22"/>
                <w:lang w:val="fr-CA"/>
              </w:rPr>
              <w:t xml:space="preserve">60 </w:t>
            </w:r>
            <w:r w:rsidRPr="00A92CED">
              <w:rPr>
                <w:rStyle w:val="fontstyle01"/>
                <w:rFonts w:ascii="Calibri" w:hAnsi="Calibri" w:cs="Calibri"/>
                <w:b w:val="0"/>
                <w:bCs w:val="0"/>
                <w:color w:val="auto"/>
                <w:sz w:val="22"/>
                <w:szCs w:val="22"/>
                <w:lang w:val="fr-CA"/>
              </w:rPr>
              <w:t>(4)</w:t>
            </w:r>
            <w:r w:rsidRPr="00A92CED">
              <w:rPr>
                <w:rStyle w:val="fontstyle01"/>
                <w:rFonts w:ascii="Calibri" w:hAnsi="Calibri" w:cs="Calibri"/>
                <w:color w:val="auto"/>
                <w:sz w:val="22"/>
                <w:szCs w:val="22"/>
                <w:lang w:val="fr-CA"/>
              </w:rPr>
              <w:t xml:space="preserve"> </w:t>
            </w:r>
            <w:r w:rsidRPr="00A92CED">
              <w:rPr>
                <w:rStyle w:val="fontstyle21"/>
                <w:rFonts w:ascii="Calibri" w:hAnsi="Calibri" w:cs="Calibri"/>
                <w:color w:val="auto"/>
                <w:sz w:val="22"/>
                <w:szCs w:val="22"/>
                <w:lang w:val="fr-CA"/>
              </w:rPr>
              <w:t>Dans le cas où la fabrication sera effectuée sur un site client, la demande contient les renseignements suivants :</w:t>
            </w:r>
          </w:p>
          <w:p w14:paraId="01CD205B" w14:textId="663F23DE" w:rsidR="00FA05FB" w:rsidRPr="00A92CED" w:rsidRDefault="00FA05FB" w:rsidP="00077EDC">
            <w:pPr>
              <w:ind w:left="720"/>
              <w:rPr>
                <w:rStyle w:val="fontstyle01"/>
                <w:rFonts w:ascii="Calibri" w:hAnsi="Calibri" w:cs="Calibri"/>
                <w:color w:val="auto"/>
                <w:sz w:val="22"/>
                <w:szCs w:val="22"/>
                <w:lang w:val="fr-CA"/>
              </w:rPr>
            </w:pPr>
            <w:r w:rsidRPr="00A92CED">
              <w:rPr>
                <w:rStyle w:val="fontstyle01"/>
                <w:rFonts w:ascii="Calibri" w:hAnsi="Calibri" w:cs="Calibri"/>
                <w:b w:val="0"/>
                <w:bCs w:val="0"/>
                <w:color w:val="auto"/>
                <w:sz w:val="22"/>
                <w:szCs w:val="22"/>
                <w:lang w:val="fr-CA"/>
              </w:rPr>
              <w:t>b)</w:t>
            </w:r>
            <w:r w:rsidRPr="00A92CED">
              <w:rPr>
                <w:rStyle w:val="fontstyle01"/>
                <w:rFonts w:ascii="Calibri" w:hAnsi="Calibri" w:cs="Calibri"/>
                <w:color w:val="auto"/>
                <w:sz w:val="22"/>
                <w:szCs w:val="22"/>
                <w:lang w:val="fr-CA"/>
              </w:rPr>
              <w:t xml:space="preserve"> </w:t>
            </w:r>
            <w:r w:rsidRPr="00A92CED">
              <w:rPr>
                <w:rStyle w:val="fontstyle21"/>
                <w:rFonts w:ascii="Calibri" w:hAnsi="Calibri" w:cs="Calibri"/>
                <w:color w:val="auto"/>
                <w:sz w:val="22"/>
                <w:szCs w:val="22"/>
                <w:lang w:val="fr-CA"/>
              </w:rPr>
              <w:t>une description du site client;</w:t>
            </w:r>
          </w:p>
        </w:tc>
        <w:tc>
          <w:tcPr>
            <w:tcW w:w="4076" w:type="dxa"/>
          </w:tcPr>
          <w:p w14:paraId="7897EF6B" w14:textId="11C9A28F" w:rsidR="00E006E1" w:rsidRPr="00A92CED" w:rsidRDefault="00E006E1" w:rsidP="00E006E1">
            <w:pPr>
              <w:pStyle w:val="NoSpacing"/>
              <w:rPr>
                <w:rFonts w:ascii="Calibri" w:hAnsi="Calibri" w:cs="Calibri"/>
                <w:bCs/>
                <w:lang w:val="fr-CA"/>
              </w:rPr>
            </w:pPr>
            <w:r w:rsidRPr="00A92CED">
              <w:rPr>
                <w:bCs/>
                <w:lang w:val="fr-CA"/>
              </w:rPr>
              <w:t>Modifier l</w:t>
            </w:r>
            <w:r w:rsidR="0030467D" w:rsidRPr="00A92CED">
              <w:rPr>
                <w:bCs/>
                <w:lang w:val="fr-CA"/>
              </w:rPr>
              <w:t>’</w:t>
            </w:r>
            <w:r w:rsidRPr="00A92CED">
              <w:rPr>
                <w:bCs/>
                <w:lang w:val="fr-CA"/>
              </w:rPr>
              <w:t xml:space="preserve">alinéa 60(4)b) pour préciser que, dans </w:t>
            </w:r>
            <w:r w:rsidRPr="00A92CED">
              <w:rPr>
                <w:rStyle w:val="fontstyle21"/>
                <w:rFonts w:ascii="Calibri" w:hAnsi="Calibri" w:cs="Calibri"/>
                <w:color w:val="auto"/>
                <w:sz w:val="22"/>
                <w:szCs w:val="22"/>
                <w:lang w:val="fr-CA"/>
              </w:rPr>
              <w:t>le cas où la fabrication d</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 xml:space="preserve">explosifs sera effectuée sur un site client, la demande </w:t>
            </w:r>
            <w:r w:rsidR="0035434A" w:rsidRPr="00A92CED">
              <w:rPr>
                <w:rStyle w:val="fontstyle21"/>
                <w:rFonts w:ascii="Calibri" w:hAnsi="Calibri" w:cs="Calibri"/>
                <w:color w:val="auto"/>
                <w:sz w:val="22"/>
                <w:szCs w:val="22"/>
                <w:lang w:val="fr-CA"/>
              </w:rPr>
              <w:t>doit contenir</w:t>
            </w:r>
            <w:r w:rsidRPr="00A92CED">
              <w:rPr>
                <w:rStyle w:val="fontstyle21"/>
                <w:rFonts w:ascii="Calibri" w:hAnsi="Calibri" w:cs="Calibri"/>
                <w:color w:val="auto"/>
                <w:sz w:val="22"/>
                <w:szCs w:val="22"/>
                <w:lang w:val="fr-CA"/>
              </w:rPr>
              <w:t xml:space="preserve"> les renseignements suivants :</w:t>
            </w:r>
            <w:r w:rsidRPr="00A92CED">
              <w:rPr>
                <w:rFonts w:ascii="Calibri" w:hAnsi="Calibri" w:cs="Calibri"/>
                <w:bCs/>
                <w:lang w:val="fr-CA"/>
              </w:rPr>
              <w:t xml:space="preserve"> </w:t>
            </w:r>
          </w:p>
          <w:p w14:paraId="77C8C13F" w14:textId="36012D99" w:rsidR="00E006E1" w:rsidRPr="00A92CED" w:rsidRDefault="00A92CED" w:rsidP="00E006E1">
            <w:pPr>
              <w:pStyle w:val="NoSpacing"/>
              <w:numPr>
                <w:ilvl w:val="0"/>
                <w:numId w:val="4"/>
              </w:numPr>
              <w:rPr>
                <w:rFonts w:ascii="Calibri" w:hAnsi="Calibri" w:cs="Calibri"/>
                <w:bCs/>
                <w:lang w:val="fr-CA"/>
              </w:rPr>
            </w:pPr>
            <w:r w:rsidRPr="00A92CED">
              <w:rPr>
                <w:rFonts w:ascii="Calibri" w:hAnsi="Calibri" w:cs="Calibri"/>
                <w:bCs/>
                <w:lang w:val="fr-CA"/>
              </w:rPr>
              <w:t>Sauf sur un site minier ou une carrière</w:t>
            </w:r>
            <w:r w:rsidRPr="00A92CED">
              <w:rPr>
                <w:rStyle w:val="fontstyle21"/>
                <w:rFonts w:ascii="Calibri" w:hAnsi="Calibri" w:cs="Calibri"/>
                <w:color w:val="auto"/>
                <w:sz w:val="22"/>
                <w:szCs w:val="22"/>
                <w:lang w:val="fr-CA"/>
              </w:rPr>
              <w:t xml:space="preserve">, </w:t>
            </w:r>
            <w:r w:rsidR="00E006E1" w:rsidRPr="00A92CED">
              <w:rPr>
                <w:rFonts w:ascii="Calibri" w:hAnsi="Calibri" w:cs="Calibri"/>
                <w:bCs/>
                <w:lang w:val="fr-CA"/>
              </w:rPr>
              <w:t xml:space="preserve">une description du site client, </w:t>
            </w:r>
            <w:r w:rsidR="00180C6A" w:rsidRPr="00A92CED">
              <w:rPr>
                <w:rFonts w:ascii="Calibri" w:hAnsi="Calibri" w:cs="Calibri"/>
                <w:bCs/>
                <w:lang w:val="fr-CA"/>
              </w:rPr>
              <w:t>notamment :</w:t>
            </w:r>
          </w:p>
          <w:p w14:paraId="6AEDA486" w14:textId="74D1CE4D" w:rsidR="00E006E1" w:rsidRPr="00A92CED" w:rsidRDefault="00180C6A" w:rsidP="00E006E1">
            <w:pPr>
              <w:pStyle w:val="NoSpacing"/>
              <w:numPr>
                <w:ilvl w:val="1"/>
                <w:numId w:val="4"/>
              </w:numPr>
              <w:rPr>
                <w:lang w:val="fr-CA"/>
              </w:rPr>
            </w:pPr>
            <w:r w:rsidRPr="00A92CED">
              <w:rPr>
                <w:rFonts w:ascii="Calibri" w:hAnsi="Calibri" w:cs="Calibri"/>
                <w:bCs/>
                <w:lang w:val="fr-CA"/>
              </w:rPr>
              <w:t xml:space="preserve">un plan du secteur qui indique chaque lieu </w:t>
            </w:r>
            <w:r w:rsidRPr="00A92CED">
              <w:rPr>
                <w:rFonts w:ascii="Calibri" w:hAnsi="Calibri" w:cs="Calibri"/>
                <w:bCs/>
                <w:lang w:val="fr-CA"/>
              </w:rPr>
              <w:lastRenderedPageBreak/>
              <w:t>vulnérable dans le site client;</w:t>
            </w:r>
          </w:p>
          <w:p w14:paraId="355F03F3" w14:textId="788F2E59" w:rsidR="00FA05FB" w:rsidRPr="00A92CED" w:rsidRDefault="00180C6A" w:rsidP="00E006E1">
            <w:pPr>
              <w:pStyle w:val="NoSpacing"/>
              <w:numPr>
                <w:ilvl w:val="1"/>
                <w:numId w:val="4"/>
              </w:numPr>
              <w:rPr>
                <w:lang w:val="fr-CA"/>
              </w:rPr>
            </w:pPr>
            <w:r w:rsidRPr="00A92CED">
              <w:rPr>
                <w:rFonts w:ascii="Calibri" w:hAnsi="Calibri" w:cs="Calibri"/>
                <w:bCs/>
                <w:lang w:val="fr-CA"/>
              </w:rPr>
              <w:t>la distance en mètre entre chaque lieu vulnérable et chaque unité de fabrication mobile.</w:t>
            </w:r>
          </w:p>
        </w:tc>
        <w:tc>
          <w:tcPr>
            <w:tcW w:w="3143" w:type="dxa"/>
            <w:gridSpan w:val="2"/>
          </w:tcPr>
          <w:p w14:paraId="765B2D69" w14:textId="77777777" w:rsidR="00FA05FB" w:rsidRPr="00A92CED" w:rsidRDefault="00180C6A" w:rsidP="00817532">
            <w:pPr>
              <w:rPr>
                <w:lang w:val="fr-CA"/>
              </w:rPr>
            </w:pPr>
            <w:r w:rsidRPr="00A92CED">
              <w:rPr>
                <w:lang w:val="fr-CA"/>
              </w:rPr>
              <w:lastRenderedPageBreak/>
              <w:t>Cet amendement proposé vise à renforcer la sécurité en appuyant les amendements proposés à l</w:t>
            </w:r>
            <w:r w:rsidR="0030467D" w:rsidRPr="00A92CED">
              <w:rPr>
                <w:lang w:val="fr-CA"/>
              </w:rPr>
              <w:t>’</w:t>
            </w:r>
            <w:r w:rsidRPr="00A92CED">
              <w:rPr>
                <w:lang w:val="fr-CA"/>
              </w:rPr>
              <w:t xml:space="preserve">article 99 (point </w:t>
            </w:r>
            <w:r w:rsidR="000E1F8B" w:rsidRPr="00A92CED">
              <w:rPr>
                <w:lang w:val="fr-CA"/>
              </w:rPr>
              <w:t>28</w:t>
            </w:r>
            <w:r w:rsidRPr="00A92CED">
              <w:rPr>
                <w:lang w:val="fr-CA"/>
              </w:rPr>
              <w:t xml:space="preserve"> du présent document de consultation), qui visent à garantir que des exigences de distance acceptables sont en place pour les unités de fabrication mobiles sur les sites </w:t>
            </w:r>
            <w:r w:rsidRPr="00A92CED">
              <w:rPr>
                <w:lang w:val="fr-CA"/>
              </w:rPr>
              <w:lastRenderedPageBreak/>
              <w:t>clients</w:t>
            </w:r>
            <w:r w:rsidR="00B031E3" w:rsidRPr="00A92CED">
              <w:rPr>
                <w:lang w:val="fr-CA"/>
              </w:rPr>
              <w:t xml:space="preserve"> </w:t>
            </w:r>
            <w:r w:rsidR="00B031E3" w:rsidRPr="00A92CED">
              <w:rPr>
                <w:lang w:val="fr-CA"/>
              </w:rPr>
              <w:t>autres que les sites miniers ou les carrières</w:t>
            </w:r>
            <w:r w:rsidRPr="00A92CED">
              <w:rPr>
                <w:lang w:val="fr-CA"/>
              </w:rPr>
              <w:t>. Cet amendement proposé se fonde en partie sur le libellé du sous-alinéa 60(2)a)(vii) du Règlement.</w:t>
            </w:r>
          </w:p>
          <w:p w14:paraId="22EA1041" w14:textId="77777777" w:rsidR="00B031E3" w:rsidRPr="00A92CED" w:rsidRDefault="00B031E3" w:rsidP="00817532">
            <w:pPr>
              <w:rPr>
                <w:lang w:val="fr-CA"/>
              </w:rPr>
            </w:pPr>
          </w:p>
          <w:p w14:paraId="1927404C" w14:textId="4039A68B" w:rsidR="00B031E3" w:rsidRPr="00A92CED" w:rsidRDefault="00B031E3" w:rsidP="00817532">
            <w:pPr>
              <w:rPr>
                <w:b/>
                <w:lang w:val="fr-CA"/>
              </w:rPr>
            </w:pPr>
            <w:r w:rsidRPr="00A92CED">
              <w:rPr>
                <w:lang w:val="fr-CA"/>
              </w:rPr>
              <w:t>La politique actuelle de RNCan sur l’application de distances acceptables aux mines et aux carrières ne changerait pas à la suite de la modification proposée, mais l’information devrait être soumise à RNCan.</w:t>
            </w:r>
          </w:p>
        </w:tc>
        <w:tc>
          <w:tcPr>
            <w:tcW w:w="3087" w:type="dxa"/>
          </w:tcPr>
          <w:p w14:paraId="607CEFC0" w14:textId="77777777" w:rsidR="00FA05FB" w:rsidRPr="00A92CED" w:rsidRDefault="00FA05FB" w:rsidP="00817532">
            <w:pPr>
              <w:rPr>
                <w:b/>
                <w:lang w:val="fr-CA"/>
              </w:rPr>
            </w:pPr>
          </w:p>
        </w:tc>
      </w:tr>
      <w:tr w:rsidR="00A92CED" w:rsidRPr="00A92CED" w14:paraId="7CD864F5" w14:textId="3406785C" w:rsidTr="00E10233">
        <w:tc>
          <w:tcPr>
            <w:tcW w:w="3126" w:type="dxa"/>
          </w:tcPr>
          <w:p w14:paraId="4C86AE81" w14:textId="77777777" w:rsidR="00FA05FB" w:rsidRPr="00A92CED" w:rsidRDefault="00FA05FB">
            <w:pPr>
              <w:pStyle w:val="ListParagraph"/>
              <w:numPr>
                <w:ilvl w:val="0"/>
                <w:numId w:val="1"/>
              </w:numPr>
              <w:jc w:val="center"/>
              <w:rPr>
                <w:lang w:val="fr-CA"/>
              </w:rPr>
            </w:pPr>
          </w:p>
        </w:tc>
        <w:tc>
          <w:tcPr>
            <w:tcW w:w="3715" w:type="dxa"/>
          </w:tcPr>
          <w:p w14:paraId="6A619EF3" w14:textId="7D4FC1FF" w:rsidR="00FA05FB" w:rsidRPr="00A92CED" w:rsidRDefault="00FA05FB" w:rsidP="00817532">
            <w:pPr>
              <w:rPr>
                <w:rFonts w:ascii="Calibri" w:hAnsi="Calibri" w:cs="Calibri"/>
                <w:lang w:val="fr-CA"/>
              </w:rPr>
            </w:pPr>
            <w:r w:rsidRPr="00A92CED">
              <w:rPr>
                <w:rFonts w:ascii="Calibri" w:hAnsi="Calibri" w:cs="Calibri"/>
                <w:b/>
                <w:bCs/>
                <w:lang w:val="fr-CA"/>
              </w:rPr>
              <w:t xml:space="preserve">60 </w:t>
            </w:r>
            <w:r w:rsidRPr="00A92CED">
              <w:rPr>
                <w:rFonts w:ascii="Calibri" w:hAnsi="Calibri" w:cs="Calibri"/>
                <w:lang w:val="fr-CA"/>
              </w:rPr>
              <w:t>(6) La demande contient les renseignements ci-après à</w:t>
            </w:r>
            <w:r w:rsidRPr="00A92CED">
              <w:rPr>
                <w:rFonts w:ascii="Calibri" w:hAnsi="Calibri" w:cs="Calibri"/>
                <w:lang w:val="fr-CA"/>
              </w:rPr>
              <w:br/>
              <w:t>l</w:t>
            </w:r>
            <w:r w:rsidR="0030467D" w:rsidRPr="00A92CED">
              <w:rPr>
                <w:rFonts w:ascii="Calibri" w:hAnsi="Calibri" w:cs="Calibri"/>
                <w:lang w:val="fr-CA"/>
              </w:rPr>
              <w:t>’</w:t>
            </w:r>
            <w:r w:rsidRPr="00A92CED">
              <w:rPr>
                <w:rFonts w:ascii="Calibri" w:hAnsi="Calibri" w:cs="Calibri"/>
                <w:lang w:val="fr-CA"/>
              </w:rPr>
              <w:t>égard des opérations de fabrication :</w:t>
            </w:r>
          </w:p>
          <w:p w14:paraId="65E16B4B" w14:textId="514C939F" w:rsidR="00FA05FB" w:rsidRPr="00A92CED" w:rsidRDefault="00FA05FB" w:rsidP="00D73926">
            <w:pPr>
              <w:ind w:left="720"/>
              <w:rPr>
                <w:rFonts w:ascii="Calibri" w:hAnsi="Calibri" w:cs="Calibri"/>
                <w:b/>
                <w:bCs/>
                <w:lang w:val="fr-CA"/>
              </w:rPr>
            </w:pPr>
            <w:r w:rsidRPr="00A92CED">
              <w:rPr>
                <w:rFonts w:ascii="Calibri" w:hAnsi="Calibri" w:cs="Calibri"/>
                <w:lang w:val="fr-CA"/>
              </w:rPr>
              <w:t>f)</w:t>
            </w:r>
            <w:r w:rsidRPr="00A92CED">
              <w:rPr>
                <w:rFonts w:ascii="Calibri" w:hAnsi="Calibri" w:cs="Calibri"/>
                <w:b/>
                <w:bCs/>
                <w:lang w:val="fr-CA"/>
              </w:rPr>
              <w:t xml:space="preserve"> </w:t>
            </w:r>
            <w:r w:rsidRPr="00A92CED">
              <w:rPr>
                <w:rFonts w:ascii="Calibri" w:hAnsi="Calibri" w:cs="Calibri"/>
                <w:lang w:val="fr-CA"/>
              </w:rPr>
              <w:t>la distance minimale en mètres qui devra être maintenue entre chaque unité de fabrication, poudrière de fabrique et installation de stockage de matières premières et chaque lieu vulnérable figurant sur le plan de la fabrique ou du site satellite et du secteur, comme l</w:t>
            </w:r>
            <w:r w:rsidR="0030467D" w:rsidRPr="00A92CED">
              <w:rPr>
                <w:rFonts w:ascii="Calibri" w:hAnsi="Calibri" w:cs="Calibri"/>
                <w:lang w:val="fr-CA"/>
              </w:rPr>
              <w:t>’</w:t>
            </w:r>
            <w:r w:rsidRPr="00A92CED">
              <w:rPr>
                <w:rFonts w:ascii="Calibri" w:hAnsi="Calibri" w:cs="Calibri"/>
                <w:lang w:val="fr-CA"/>
              </w:rPr>
              <w:t xml:space="preserve">indique la norme nationale du Canada CAN/BNQ 2910–510/2015 intitulée </w:t>
            </w:r>
            <w:r w:rsidRPr="00A92CED">
              <w:rPr>
                <w:rFonts w:ascii="Calibri" w:hAnsi="Calibri" w:cs="Calibri"/>
                <w:i/>
                <w:iCs/>
                <w:lang w:val="fr-CA"/>
              </w:rPr>
              <w:t>Explosifs — Distances par rapport à la quantité d</w:t>
            </w:r>
            <w:r w:rsidR="0030467D" w:rsidRPr="00A92CED">
              <w:rPr>
                <w:rFonts w:ascii="Calibri" w:hAnsi="Calibri" w:cs="Calibri"/>
                <w:i/>
                <w:iCs/>
                <w:lang w:val="fr-CA"/>
              </w:rPr>
              <w:t>’</w:t>
            </w:r>
            <w:r w:rsidRPr="00A92CED">
              <w:rPr>
                <w:rFonts w:ascii="Calibri" w:hAnsi="Calibri" w:cs="Calibri"/>
                <w:i/>
                <w:iCs/>
                <w:lang w:val="fr-CA"/>
              </w:rPr>
              <w:t>explosifs</w:t>
            </w:r>
            <w:r w:rsidRPr="00A92CED">
              <w:rPr>
                <w:rFonts w:ascii="Calibri" w:hAnsi="Calibri" w:cs="Calibri"/>
                <w:lang w:val="fr-CA"/>
              </w:rPr>
              <w:t>, avec ses modifications successives.</w:t>
            </w:r>
          </w:p>
        </w:tc>
        <w:tc>
          <w:tcPr>
            <w:tcW w:w="4076" w:type="dxa"/>
          </w:tcPr>
          <w:p w14:paraId="5594ADB7" w14:textId="43CCFFE1" w:rsidR="007B3033" w:rsidRPr="00A92CED" w:rsidRDefault="007B3033" w:rsidP="007B3033">
            <w:pPr>
              <w:rPr>
                <w:lang w:val="fr-CA"/>
              </w:rPr>
            </w:pPr>
            <w:r w:rsidRPr="00A92CED">
              <w:rPr>
                <w:lang w:val="fr-CA"/>
              </w:rPr>
              <w:t>Modifier l</w:t>
            </w:r>
            <w:r w:rsidR="0030467D" w:rsidRPr="00A92CED">
              <w:rPr>
                <w:lang w:val="fr-CA"/>
              </w:rPr>
              <w:t>’</w:t>
            </w:r>
            <w:r w:rsidRPr="00A92CED">
              <w:rPr>
                <w:lang w:val="fr-CA"/>
              </w:rPr>
              <w:t xml:space="preserve">alinéa 60(6)f) pour préciser que la demande doit contenir les renseignements </w:t>
            </w:r>
            <w:r w:rsidR="0035434A" w:rsidRPr="00A92CED">
              <w:rPr>
                <w:lang w:val="fr-CA"/>
              </w:rPr>
              <w:t>ci-après à l</w:t>
            </w:r>
            <w:r w:rsidR="0030467D" w:rsidRPr="00A92CED">
              <w:rPr>
                <w:lang w:val="fr-CA"/>
              </w:rPr>
              <w:t>’</w:t>
            </w:r>
            <w:r w:rsidR="0035434A" w:rsidRPr="00A92CED">
              <w:rPr>
                <w:lang w:val="fr-CA"/>
              </w:rPr>
              <w:t>égard des opérations de fabrication :</w:t>
            </w:r>
          </w:p>
          <w:p w14:paraId="13DE13AF" w14:textId="0CDEDDC3" w:rsidR="00FA05FB" w:rsidRPr="00A92CED" w:rsidRDefault="0035434A" w:rsidP="001E26FD">
            <w:pPr>
              <w:pStyle w:val="ListParagraph"/>
              <w:numPr>
                <w:ilvl w:val="0"/>
                <w:numId w:val="4"/>
              </w:numPr>
              <w:rPr>
                <w:lang w:val="fr-CA"/>
              </w:rPr>
            </w:pPr>
            <w:r w:rsidRPr="00A92CED">
              <w:rPr>
                <w:lang w:val="fr-CA"/>
              </w:rPr>
              <w:t>la distance en mètres entre chaque unité de fabrication, poudrière de fabrique et installation de stockage de matières premières et chaque lieu vulnérable figurant sur le plan du secteur.</w:t>
            </w:r>
          </w:p>
        </w:tc>
        <w:tc>
          <w:tcPr>
            <w:tcW w:w="3143" w:type="dxa"/>
            <w:gridSpan w:val="2"/>
          </w:tcPr>
          <w:p w14:paraId="49A5E894" w14:textId="1696D030" w:rsidR="00FA05FB" w:rsidRPr="00A92CED" w:rsidRDefault="0035434A" w:rsidP="00817532">
            <w:pPr>
              <w:rPr>
                <w:b/>
                <w:lang w:val="fr-CA"/>
              </w:rPr>
            </w:pPr>
            <w:r w:rsidRPr="00A92CED">
              <w:rPr>
                <w:lang w:val="fr-CA"/>
              </w:rPr>
              <w:t xml:space="preserve">Cet amendement proposé vise à clarifier que les distances minimales énoncées dans la norme nationale du Canada </w:t>
            </w:r>
            <w:r w:rsidRPr="00A92CED">
              <w:rPr>
                <w:rFonts w:ascii="Calibri" w:hAnsi="Calibri" w:cs="Calibri"/>
                <w:lang w:val="fr-CA"/>
              </w:rPr>
              <w:t xml:space="preserve">CAN/BNQ 2910–510/2015 intitulée </w:t>
            </w:r>
            <w:r w:rsidRPr="00A92CED">
              <w:rPr>
                <w:rFonts w:ascii="Calibri" w:hAnsi="Calibri" w:cs="Calibri"/>
                <w:i/>
                <w:iCs/>
                <w:lang w:val="fr-CA"/>
              </w:rPr>
              <w:t>Explosifs — Distances par rapport à la quantité d</w:t>
            </w:r>
            <w:r w:rsidR="0030467D" w:rsidRPr="00A92CED">
              <w:rPr>
                <w:rFonts w:ascii="Calibri" w:hAnsi="Calibri" w:cs="Calibri"/>
                <w:i/>
                <w:iCs/>
                <w:lang w:val="fr-CA"/>
              </w:rPr>
              <w:t>’</w:t>
            </w:r>
            <w:r w:rsidRPr="00A92CED">
              <w:rPr>
                <w:rFonts w:ascii="Calibri" w:hAnsi="Calibri" w:cs="Calibri"/>
                <w:i/>
                <w:iCs/>
                <w:lang w:val="fr-CA"/>
              </w:rPr>
              <w:t>explosifs</w:t>
            </w:r>
            <w:r w:rsidRPr="00A92CED">
              <w:rPr>
                <w:rFonts w:ascii="Calibri" w:hAnsi="Calibri" w:cs="Calibri"/>
                <w:lang w:val="fr-CA"/>
              </w:rPr>
              <w:t>, avec ses modifications successives, ne doivent pas nécessairement être respectées dans tous les cas, à condition qu</w:t>
            </w:r>
            <w:r w:rsidR="0030467D" w:rsidRPr="00A92CED">
              <w:rPr>
                <w:rFonts w:ascii="Calibri" w:hAnsi="Calibri" w:cs="Calibri"/>
                <w:lang w:val="fr-CA"/>
              </w:rPr>
              <w:t>’</w:t>
            </w:r>
            <w:r w:rsidRPr="00A92CED">
              <w:rPr>
                <w:rFonts w:ascii="Calibri" w:hAnsi="Calibri" w:cs="Calibri"/>
                <w:lang w:val="fr-CA"/>
              </w:rPr>
              <w:t>une distance acceptable, déterminée par le ministre soit respectée. L</w:t>
            </w:r>
            <w:r w:rsidR="0030467D" w:rsidRPr="00A92CED">
              <w:rPr>
                <w:rFonts w:ascii="Calibri" w:hAnsi="Calibri" w:cs="Calibri"/>
                <w:lang w:val="fr-CA"/>
              </w:rPr>
              <w:t>’</w:t>
            </w:r>
            <w:r w:rsidRPr="00A92CED">
              <w:rPr>
                <w:rFonts w:ascii="Calibri" w:hAnsi="Calibri" w:cs="Calibri"/>
                <w:lang w:val="fr-CA"/>
              </w:rPr>
              <w:t>intention de la politique est d</w:t>
            </w:r>
            <w:r w:rsidR="0030467D" w:rsidRPr="00A92CED">
              <w:rPr>
                <w:rFonts w:ascii="Calibri" w:hAnsi="Calibri" w:cs="Calibri"/>
                <w:lang w:val="fr-CA"/>
              </w:rPr>
              <w:t>’</w:t>
            </w:r>
            <w:r w:rsidRPr="00A92CED">
              <w:rPr>
                <w:rFonts w:ascii="Calibri" w:hAnsi="Calibri" w:cs="Calibri"/>
                <w:lang w:val="fr-CA"/>
              </w:rPr>
              <w:t>exiger que la demande contienne la distance en mètres qui doit être maintenue entre chaque unité de fabrication et poudrière de fabrique.</w:t>
            </w:r>
          </w:p>
        </w:tc>
        <w:tc>
          <w:tcPr>
            <w:tcW w:w="3087" w:type="dxa"/>
          </w:tcPr>
          <w:p w14:paraId="77443291" w14:textId="77777777" w:rsidR="00FA05FB" w:rsidRPr="00A92CED" w:rsidRDefault="00FA05FB" w:rsidP="00817532">
            <w:pPr>
              <w:rPr>
                <w:b/>
                <w:lang w:val="fr-CA"/>
              </w:rPr>
            </w:pPr>
          </w:p>
        </w:tc>
      </w:tr>
      <w:tr w:rsidR="00A92CED" w:rsidRPr="00A92CED" w14:paraId="0E681685" w14:textId="0E54DA04" w:rsidTr="00E10233">
        <w:tc>
          <w:tcPr>
            <w:tcW w:w="3126" w:type="dxa"/>
          </w:tcPr>
          <w:p w14:paraId="7C4091D1" w14:textId="77777777" w:rsidR="00FA05FB" w:rsidRPr="00A92CED" w:rsidRDefault="00FA05FB">
            <w:pPr>
              <w:pStyle w:val="ListParagraph"/>
              <w:numPr>
                <w:ilvl w:val="0"/>
                <w:numId w:val="1"/>
              </w:numPr>
              <w:jc w:val="center"/>
              <w:rPr>
                <w:lang w:val="fr-CA"/>
              </w:rPr>
            </w:pPr>
          </w:p>
        </w:tc>
        <w:tc>
          <w:tcPr>
            <w:tcW w:w="3715" w:type="dxa"/>
          </w:tcPr>
          <w:p w14:paraId="633E79BF" w14:textId="4E6E103B" w:rsidR="00FA05FB" w:rsidRPr="00A92CED" w:rsidRDefault="00FA05FB" w:rsidP="00F031AD">
            <w:pPr>
              <w:rPr>
                <w:rFonts w:ascii="Calibri" w:hAnsi="Calibri" w:cs="Calibri"/>
                <w:lang w:val="fr-CA"/>
              </w:rPr>
            </w:pPr>
            <w:r w:rsidRPr="00A92CED">
              <w:rPr>
                <w:rFonts w:ascii="Calibri" w:hAnsi="Calibri" w:cs="Calibri"/>
                <w:b/>
                <w:bCs/>
                <w:lang w:val="fr-CA"/>
              </w:rPr>
              <w:t xml:space="preserve">60 </w:t>
            </w:r>
            <w:r w:rsidRPr="00A92CED">
              <w:rPr>
                <w:rFonts w:ascii="Calibri" w:hAnsi="Calibri" w:cs="Calibri"/>
                <w:lang w:val="fr-CA"/>
              </w:rPr>
              <w:t>(6) La demande contient les renseignements ci-après à</w:t>
            </w:r>
            <w:r w:rsidR="00B031E3" w:rsidRPr="00A92CED">
              <w:rPr>
                <w:rFonts w:ascii="Calibri" w:hAnsi="Calibri" w:cs="Calibri"/>
                <w:lang w:val="fr-CA"/>
              </w:rPr>
              <w:t xml:space="preserve"> </w:t>
            </w:r>
            <w:r w:rsidRPr="00A92CED">
              <w:rPr>
                <w:rFonts w:ascii="Calibri" w:hAnsi="Calibri" w:cs="Calibri"/>
                <w:lang w:val="fr-CA"/>
              </w:rPr>
              <w:t>l</w:t>
            </w:r>
            <w:r w:rsidR="0030467D" w:rsidRPr="00A92CED">
              <w:rPr>
                <w:rFonts w:ascii="Calibri" w:hAnsi="Calibri" w:cs="Calibri"/>
                <w:lang w:val="fr-CA"/>
              </w:rPr>
              <w:t>’</w:t>
            </w:r>
            <w:r w:rsidRPr="00A92CED">
              <w:rPr>
                <w:rFonts w:ascii="Calibri" w:hAnsi="Calibri" w:cs="Calibri"/>
                <w:lang w:val="fr-CA"/>
              </w:rPr>
              <w:t>égard des opérations de fabrication :</w:t>
            </w:r>
          </w:p>
          <w:p w14:paraId="4BCD6EAD" w14:textId="5C98B104" w:rsidR="00FA05FB" w:rsidRPr="00A92CED" w:rsidRDefault="00FA05FB" w:rsidP="00F031AD">
            <w:pPr>
              <w:ind w:left="720"/>
              <w:rPr>
                <w:rFonts w:ascii="Calibri" w:hAnsi="Calibri" w:cs="Calibri"/>
                <w:lang w:val="fr-CA"/>
              </w:rPr>
            </w:pPr>
            <w:r w:rsidRPr="00A92CED">
              <w:rPr>
                <w:rFonts w:ascii="Calibri" w:hAnsi="Calibri" w:cs="Calibri"/>
                <w:lang w:val="fr-CA"/>
              </w:rPr>
              <w:t>a)</w:t>
            </w:r>
            <w:r w:rsidRPr="00A92CED">
              <w:rPr>
                <w:rFonts w:ascii="Calibri" w:hAnsi="Calibri" w:cs="Calibri"/>
                <w:b/>
                <w:bCs/>
                <w:lang w:val="fr-CA"/>
              </w:rPr>
              <w:t xml:space="preserve"> </w:t>
            </w:r>
            <w:r w:rsidRPr="00A92CED">
              <w:rPr>
                <w:rFonts w:ascii="Calibri" w:hAnsi="Calibri" w:cs="Calibri"/>
                <w:lang w:val="fr-CA"/>
              </w:rPr>
              <w:t>une description de celles qui seront effectuées dans chaque unité de fabrication et poudrière de fabrique;</w:t>
            </w:r>
            <w:r w:rsidRPr="00A92CED">
              <w:rPr>
                <w:rFonts w:ascii="Calibri" w:hAnsi="Calibri" w:cs="Calibri"/>
                <w:lang w:val="fr-CA"/>
              </w:rPr>
              <w:br/>
              <w:t>b)</w:t>
            </w:r>
            <w:r w:rsidRPr="00A92CED">
              <w:rPr>
                <w:rFonts w:ascii="Calibri" w:hAnsi="Calibri" w:cs="Calibri"/>
                <w:b/>
                <w:bCs/>
                <w:lang w:val="fr-CA"/>
              </w:rPr>
              <w:t xml:space="preserve"> </w:t>
            </w:r>
            <w:r w:rsidRPr="00A92CED">
              <w:rPr>
                <w:rFonts w:ascii="Calibri" w:hAnsi="Calibri" w:cs="Calibri"/>
                <w:lang w:val="fr-CA"/>
              </w:rPr>
              <w:t>une description des explosifs et de toute autre matière inflammable susceptible de combustion spontanée ou présentant un autre type de danger, qui seront stockés dans chaque unité de fabrication, poudrière de fabrique, installation de stockage de matières premières, bâtiment ou construction;</w:t>
            </w:r>
            <w:r w:rsidRPr="00A92CED">
              <w:rPr>
                <w:rFonts w:ascii="Calibri" w:hAnsi="Calibri" w:cs="Calibri"/>
                <w:lang w:val="fr-CA"/>
              </w:rPr>
              <w:br/>
              <w:t>c)</w:t>
            </w:r>
            <w:r w:rsidRPr="00A92CED">
              <w:rPr>
                <w:rFonts w:ascii="Calibri" w:hAnsi="Calibri" w:cs="Calibri"/>
                <w:b/>
                <w:bCs/>
                <w:lang w:val="fr-CA"/>
              </w:rPr>
              <w:t xml:space="preserve"> </w:t>
            </w:r>
            <w:r w:rsidRPr="00A92CED">
              <w:rPr>
                <w:rFonts w:ascii="Calibri" w:hAnsi="Calibri" w:cs="Calibri"/>
                <w:lang w:val="fr-CA"/>
              </w:rPr>
              <w:t>s</w:t>
            </w:r>
            <w:r w:rsidR="0030467D" w:rsidRPr="00A92CED">
              <w:rPr>
                <w:rFonts w:ascii="Calibri" w:hAnsi="Calibri" w:cs="Calibri"/>
                <w:lang w:val="fr-CA"/>
              </w:rPr>
              <w:t>’</w:t>
            </w:r>
            <w:r w:rsidRPr="00A92CED">
              <w:rPr>
                <w:rFonts w:ascii="Calibri" w:hAnsi="Calibri" w:cs="Calibri"/>
                <w:lang w:val="fr-CA"/>
              </w:rPr>
              <w:t>agissant de toute opération de fabrication innovatrice au Canada d</w:t>
            </w:r>
            <w:r w:rsidR="0030467D" w:rsidRPr="00A92CED">
              <w:rPr>
                <w:rFonts w:ascii="Calibri" w:hAnsi="Calibri" w:cs="Calibri"/>
                <w:lang w:val="fr-CA"/>
              </w:rPr>
              <w:t>’</w:t>
            </w:r>
            <w:r w:rsidRPr="00A92CED">
              <w:rPr>
                <w:rFonts w:ascii="Calibri" w:hAnsi="Calibri" w:cs="Calibri"/>
                <w:lang w:val="fr-CA"/>
              </w:rPr>
              <w:t>un explosif, les résultats de l</w:t>
            </w:r>
            <w:r w:rsidR="0030467D" w:rsidRPr="00A92CED">
              <w:rPr>
                <w:rFonts w:ascii="Calibri" w:hAnsi="Calibri" w:cs="Calibri"/>
                <w:lang w:val="fr-CA"/>
              </w:rPr>
              <w:t>’</w:t>
            </w:r>
            <w:r w:rsidRPr="00A92CED">
              <w:rPr>
                <w:rFonts w:ascii="Calibri" w:hAnsi="Calibri" w:cs="Calibri"/>
                <w:lang w:val="fr-CA"/>
              </w:rPr>
              <w:t>évaluation quantifiée des risques ou de l</w:t>
            </w:r>
            <w:r w:rsidR="0030467D" w:rsidRPr="00A92CED">
              <w:rPr>
                <w:rFonts w:ascii="Calibri" w:hAnsi="Calibri" w:cs="Calibri"/>
                <w:lang w:val="fr-CA"/>
              </w:rPr>
              <w:t>’</w:t>
            </w:r>
            <w:r w:rsidRPr="00A92CED">
              <w:rPr>
                <w:rFonts w:ascii="Calibri" w:hAnsi="Calibri" w:cs="Calibri"/>
                <w:lang w:val="fr-CA"/>
              </w:rPr>
              <w:t>examen des dangers relatifs aux procédés d</w:t>
            </w:r>
            <w:r w:rsidR="0030467D" w:rsidRPr="00A92CED">
              <w:rPr>
                <w:rFonts w:ascii="Calibri" w:hAnsi="Calibri" w:cs="Calibri"/>
                <w:lang w:val="fr-CA"/>
              </w:rPr>
              <w:t>’</w:t>
            </w:r>
            <w:r w:rsidRPr="00A92CED">
              <w:rPr>
                <w:rFonts w:ascii="Calibri" w:hAnsi="Calibri" w:cs="Calibri"/>
                <w:lang w:val="fr-CA"/>
              </w:rPr>
              <w:t>exploitation;</w:t>
            </w:r>
          </w:p>
          <w:p w14:paraId="18025BBE" w14:textId="702EBA48" w:rsidR="00FA05FB" w:rsidRPr="00A92CED" w:rsidRDefault="00FA05FB" w:rsidP="00F031AD">
            <w:pPr>
              <w:ind w:left="720"/>
              <w:rPr>
                <w:rFonts w:ascii="Calibri" w:hAnsi="Calibri" w:cs="Calibri"/>
                <w:lang w:val="fr-CA"/>
              </w:rPr>
            </w:pPr>
            <w:r w:rsidRPr="00A92CED">
              <w:rPr>
                <w:rFonts w:ascii="Calibri" w:hAnsi="Calibri" w:cs="Calibri"/>
                <w:lang w:val="fr-CA"/>
              </w:rPr>
              <w:t>d)</w:t>
            </w:r>
            <w:r w:rsidRPr="00A92CED">
              <w:rPr>
                <w:rFonts w:ascii="Calibri" w:hAnsi="Calibri" w:cs="Calibri"/>
                <w:b/>
                <w:bCs/>
                <w:lang w:val="fr-CA"/>
              </w:rPr>
              <w:t xml:space="preserve"> </w:t>
            </w:r>
            <w:r w:rsidRPr="00A92CED">
              <w:rPr>
                <w:rFonts w:ascii="Calibri" w:hAnsi="Calibri" w:cs="Calibri"/>
                <w:lang w:val="fr-CA"/>
              </w:rPr>
              <w:t>la quantité maximale d</w:t>
            </w:r>
            <w:r w:rsidR="0030467D" w:rsidRPr="00A92CED">
              <w:rPr>
                <w:rFonts w:ascii="Calibri" w:hAnsi="Calibri" w:cs="Calibri"/>
                <w:lang w:val="fr-CA"/>
              </w:rPr>
              <w:t>’</w:t>
            </w:r>
            <w:r w:rsidRPr="00A92CED">
              <w:rPr>
                <w:rFonts w:ascii="Calibri" w:hAnsi="Calibri" w:cs="Calibri"/>
                <w:lang w:val="fr-CA"/>
              </w:rPr>
              <w:t>explosifs et de matières premières qui seront à tout moment dans chaque unité de fabrication, poudrière de fabrique, installation de</w:t>
            </w:r>
            <w:r w:rsidRPr="00A92CED">
              <w:rPr>
                <w:rFonts w:ascii="Calibri" w:hAnsi="Calibri" w:cs="Calibri"/>
                <w:lang w:val="fr-CA"/>
              </w:rPr>
              <w:br/>
            </w:r>
            <w:r w:rsidRPr="00A92CED">
              <w:rPr>
                <w:rFonts w:ascii="Calibri" w:hAnsi="Calibri" w:cs="Calibri"/>
                <w:lang w:val="fr-CA"/>
              </w:rPr>
              <w:lastRenderedPageBreak/>
              <w:t>stockage de matières premières, bâtiment ou construction;</w:t>
            </w:r>
            <w:r w:rsidRPr="00A92CED">
              <w:rPr>
                <w:rFonts w:ascii="Calibri" w:hAnsi="Calibri" w:cs="Calibri"/>
                <w:lang w:val="fr-CA"/>
              </w:rPr>
              <w:br/>
              <w:t>e)</w:t>
            </w:r>
            <w:r w:rsidRPr="00A92CED">
              <w:rPr>
                <w:rFonts w:ascii="Calibri" w:hAnsi="Calibri" w:cs="Calibri"/>
                <w:b/>
                <w:bCs/>
                <w:lang w:val="fr-CA"/>
              </w:rPr>
              <w:t xml:space="preserve"> </w:t>
            </w:r>
            <w:r w:rsidRPr="00A92CED">
              <w:rPr>
                <w:rFonts w:ascii="Calibri" w:hAnsi="Calibri" w:cs="Calibri"/>
                <w:lang w:val="fr-CA"/>
              </w:rPr>
              <w:t>le nombre maximal de personnes qui se trouveront à tout moment dans chaque unité de fabrication, poudrière de fabrique, installation de stockage de matières premières, bâtiment ou construction;</w:t>
            </w:r>
          </w:p>
          <w:p w14:paraId="54270413" w14:textId="5BC26D5C" w:rsidR="00FA05FB" w:rsidRPr="00A92CED" w:rsidRDefault="00FA05FB" w:rsidP="00F031AD">
            <w:pPr>
              <w:ind w:left="720"/>
              <w:rPr>
                <w:rFonts w:ascii="Calibri" w:hAnsi="Calibri" w:cs="Calibri"/>
                <w:b/>
                <w:bCs/>
                <w:lang w:val="fr-CA"/>
              </w:rPr>
            </w:pPr>
            <w:r w:rsidRPr="00A92CED">
              <w:rPr>
                <w:rFonts w:ascii="Calibri" w:hAnsi="Calibri" w:cs="Calibri"/>
                <w:lang w:val="fr-CA"/>
              </w:rPr>
              <w:t>f)</w:t>
            </w:r>
            <w:r w:rsidRPr="00A92CED">
              <w:rPr>
                <w:rFonts w:ascii="Calibri" w:hAnsi="Calibri" w:cs="Calibri"/>
                <w:b/>
                <w:bCs/>
                <w:lang w:val="fr-CA"/>
              </w:rPr>
              <w:t xml:space="preserve"> </w:t>
            </w:r>
            <w:r w:rsidRPr="00A92CED">
              <w:rPr>
                <w:rFonts w:ascii="Calibri" w:hAnsi="Calibri" w:cs="Calibri"/>
                <w:lang w:val="fr-CA"/>
              </w:rPr>
              <w:t>la distance minimale en mètres qui devra être maintenue entre chaque unité de fabrication, poudrière de fabrique et installation de stockage de matières premières et chaque lieu vulnérable figurant sur le plan de la fabrique ou du site satellite et du secteur, comme l</w:t>
            </w:r>
            <w:r w:rsidR="0030467D" w:rsidRPr="00A92CED">
              <w:rPr>
                <w:rFonts w:ascii="Calibri" w:hAnsi="Calibri" w:cs="Calibri"/>
                <w:lang w:val="fr-CA"/>
              </w:rPr>
              <w:t>’</w:t>
            </w:r>
            <w:r w:rsidRPr="00A92CED">
              <w:rPr>
                <w:rFonts w:ascii="Calibri" w:hAnsi="Calibri" w:cs="Calibri"/>
                <w:lang w:val="fr-CA"/>
              </w:rPr>
              <w:t xml:space="preserve">indique la norme nationale du Canada CAN/BNQ 2910–510/2015 intitulée </w:t>
            </w:r>
            <w:r w:rsidRPr="00A92CED">
              <w:rPr>
                <w:rFonts w:ascii="Calibri" w:hAnsi="Calibri" w:cs="Calibri"/>
                <w:i/>
                <w:iCs/>
                <w:lang w:val="fr-CA"/>
              </w:rPr>
              <w:t>Explosifs — Distances par rapport à la quantité d</w:t>
            </w:r>
            <w:r w:rsidR="0030467D" w:rsidRPr="00A92CED">
              <w:rPr>
                <w:rFonts w:ascii="Calibri" w:hAnsi="Calibri" w:cs="Calibri"/>
                <w:i/>
                <w:iCs/>
                <w:lang w:val="fr-CA"/>
              </w:rPr>
              <w:t>’</w:t>
            </w:r>
            <w:r w:rsidRPr="00A92CED">
              <w:rPr>
                <w:rFonts w:ascii="Calibri" w:hAnsi="Calibri" w:cs="Calibri"/>
                <w:i/>
                <w:iCs/>
                <w:lang w:val="fr-CA"/>
              </w:rPr>
              <w:t>explosifs</w:t>
            </w:r>
            <w:r w:rsidRPr="00A92CED">
              <w:rPr>
                <w:rFonts w:ascii="Calibri" w:hAnsi="Calibri" w:cs="Calibri"/>
                <w:lang w:val="fr-CA"/>
              </w:rPr>
              <w:t>, avec ses modifications successives.</w:t>
            </w:r>
          </w:p>
        </w:tc>
        <w:tc>
          <w:tcPr>
            <w:tcW w:w="4076" w:type="dxa"/>
          </w:tcPr>
          <w:p w14:paraId="76379584" w14:textId="516A0443" w:rsidR="0068003D" w:rsidRPr="00A92CED" w:rsidRDefault="0068003D" w:rsidP="0068003D">
            <w:pPr>
              <w:rPr>
                <w:lang w:val="fr-CA"/>
              </w:rPr>
            </w:pPr>
            <w:r w:rsidRPr="00A92CED">
              <w:rPr>
                <w:lang w:val="fr-CA"/>
              </w:rPr>
              <w:lastRenderedPageBreak/>
              <w:t>Modifier le paragraphe 60(6) pour ajouter une nouvelle exigence stipulant que la demande doit contenir les renseignements ci-après à l</w:t>
            </w:r>
            <w:r w:rsidR="0030467D" w:rsidRPr="00A92CED">
              <w:rPr>
                <w:lang w:val="fr-CA"/>
              </w:rPr>
              <w:t>’</w:t>
            </w:r>
            <w:r w:rsidRPr="00A92CED">
              <w:rPr>
                <w:lang w:val="fr-CA"/>
              </w:rPr>
              <w:t>égard des opérations de fabrication :</w:t>
            </w:r>
          </w:p>
          <w:p w14:paraId="77D41E32" w14:textId="42996731" w:rsidR="00FA05FB" w:rsidRPr="00A92CED" w:rsidRDefault="00283AF3" w:rsidP="001E26FD">
            <w:pPr>
              <w:pStyle w:val="ListParagraph"/>
              <w:numPr>
                <w:ilvl w:val="0"/>
                <w:numId w:val="4"/>
              </w:numPr>
              <w:rPr>
                <w:lang w:val="fr-CA"/>
              </w:rPr>
            </w:pPr>
            <w:r w:rsidRPr="00A92CED">
              <w:rPr>
                <w:lang w:val="fr-CA"/>
              </w:rPr>
              <w:t>pour chaque poudrière sur le site : le numéro du type de poudrière auquel elle appartient, comme l</w:t>
            </w:r>
            <w:r w:rsidR="0030467D" w:rsidRPr="00A92CED">
              <w:rPr>
                <w:lang w:val="fr-CA"/>
              </w:rPr>
              <w:t>’</w:t>
            </w:r>
            <w:r w:rsidRPr="00A92CED">
              <w:rPr>
                <w:lang w:val="fr-CA"/>
              </w:rPr>
              <w:t>indique la norme nationale du Canada CAN/BNQ 2910–500/2015 intitulée Explosifs — Dépôts d</w:t>
            </w:r>
            <w:r w:rsidR="0030467D" w:rsidRPr="00A92CED">
              <w:rPr>
                <w:lang w:val="fr-CA"/>
              </w:rPr>
              <w:t>’</w:t>
            </w:r>
            <w:r w:rsidRPr="00A92CED">
              <w:rPr>
                <w:lang w:val="fr-CA"/>
              </w:rPr>
              <w:t>explosifs industriels, avec ses modifications successives, ou, si elle ne correspond à aucun type, ses spécifications, notamment les matériaux de construction dont elle est faite et les dispositifs de sécurité et de sûreté dont elle est dotée.</w:t>
            </w:r>
          </w:p>
        </w:tc>
        <w:tc>
          <w:tcPr>
            <w:tcW w:w="3143" w:type="dxa"/>
            <w:gridSpan w:val="2"/>
          </w:tcPr>
          <w:p w14:paraId="1F976771" w14:textId="65BBAE19" w:rsidR="00FA05FB" w:rsidRPr="00A92CED" w:rsidRDefault="00283AF3" w:rsidP="00B031E3">
            <w:pPr>
              <w:rPr>
                <w:b/>
                <w:lang w:val="fr-CA"/>
              </w:rPr>
            </w:pPr>
            <w:r w:rsidRPr="00A92CED">
              <w:rPr>
                <w:lang w:val="fr-CA"/>
              </w:rPr>
              <w:t xml:space="preserve">Cet amendement proposé </w:t>
            </w:r>
            <w:r w:rsidR="00B031E3" w:rsidRPr="00A92CED">
              <w:rPr>
                <w:lang w:val="fr-CA"/>
              </w:rPr>
              <w:t xml:space="preserve">vise à </w:t>
            </w:r>
            <w:r w:rsidR="00B031E3" w:rsidRPr="00A92CED">
              <w:rPr>
                <w:lang w:val="fr-CA"/>
              </w:rPr>
              <w:t>l</w:t>
            </w:r>
            <w:r w:rsidR="00B031E3" w:rsidRPr="00A92CED">
              <w:rPr>
                <w:lang w:val="fr-CA"/>
              </w:rPr>
              <w:t>’harmoniser avec les exigences de la partie 6 pour les licences</w:t>
            </w:r>
            <w:r w:rsidR="00B031E3" w:rsidRPr="00A92CED">
              <w:rPr>
                <w:lang w:val="fr-CA"/>
              </w:rPr>
              <w:t xml:space="preserve"> et </w:t>
            </w:r>
            <w:r w:rsidRPr="00A92CED">
              <w:rPr>
                <w:lang w:val="fr-CA"/>
              </w:rPr>
              <w:t>inscrirait dans le Règlement l</w:t>
            </w:r>
            <w:r w:rsidR="0030467D" w:rsidRPr="00A92CED">
              <w:rPr>
                <w:lang w:val="fr-CA"/>
              </w:rPr>
              <w:t>’</w:t>
            </w:r>
            <w:r w:rsidRPr="00A92CED">
              <w:rPr>
                <w:lang w:val="fr-CA"/>
              </w:rPr>
              <w:t xml:space="preserve">obligation de fournir les renseignements qui sont actuellement demandés par RNCan dans le cadre du processus de demande de licence de fabrique de la section 1. </w:t>
            </w:r>
          </w:p>
        </w:tc>
        <w:tc>
          <w:tcPr>
            <w:tcW w:w="3087" w:type="dxa"/>
          </w:tcPr>
          <w:p w14:paraId="683C904F" w14:textId="77777777" w:rsidR="00FA05FB" w:rsidRPr="00A92CED" w:rsidRDefault="00FA05FB" w:rsidP="00817532">
            <w:pPr>
              <w:rPr>
                <w:b/>
                <w:lang w:val="fr-CA"/>
              </w:rPr>
            </w:pPr>
          </w:p>
        </w:tc>
      </w:tr>
      <w:tr w:rsidR="00A92CED" w:rsidRPr="00A92CED" w14:paraId="6B7D7DA0" w14:textId="76792420" w:rsidTr="00E10233">
        <w:tc>
          <w:tcPr>
            <w:tcW w:w="3126" w:type="dxa"/>
          </w:tcPr>
          <w:p w14:paraId="67232B68" w14:textId="77777777" w:rsidR="00FA05FB" w:rsidRPr="00A92CED" w:rsidRDefault="00FA05FB">
            <w:pPr>
              <w:pStyle w:val="ListParagraph"/>
              <w:numPr>
                <w:ilvl w:val="0"/>
                <w:numId w:val="1"/>
              </w:numPr>
              <w:jc w:val="center"/>
              <w:rPr>
                <w:lang w:val="fr-CA"/>
              </w:rPr>
            </w:pPr>
          </w:p>
        </w:tc>
        <w:tc>
          <w:tcPr>
            <w:tcW w:w="3715" w:type="dxa"/>
          </w:tcPr>
          <w:p w14:paraId="1618AB05" w14:textId="3A0BD6C1" w:rsidR="00FA05FB" w:rsidRPr="00A92CED" w:rsidRDefault="00FA05FB" w:rsidP="00817532">
            <w:pPr>
              <w:rPr>
                <w:rFonts w:ascii="Calibri" w:hAnsi="Calibri" w:cs="Calibri"/>
                <w:b/>
                <w:bCs/>
                <w:lang w:val="fr-CA"/>
              </w:rPr>
            </w:pPr>
            <w:r w:rsidRPr="00A92CED">
              <w:rPr>
                <w:rFonts w:ascii="Calibri" w:hAnsi="Calibri" w:cs="Calibri"/>
                <w:b/>
                <w:bCs/>
                <w:lang w:val="fr-CA"/>
              </w:rPr>
              <w:t xml:space="preserve">60 </w:t>
            </w:r>
            <w:r w:rsidRPr="00A92CED">
              <w:rPr>
                <w:rFonts w:ascii="Calibri" w:hAnsi="Calibri" w:cs="Calibri"/>
                <w:lang w:val="fr-CA"/>
              </w:rPr>
              <w:t>(8) La demande est accompagnée de la liste des documents ci-après, avec la date de leur création et, le cas</w:t>
            </w:r>
            <w:r w:rsidRPr="00A92CED">
              <w:rPr>
                <w:rFonts w:ascii="Calibri" w:hAnsi="Calibri" w:cs="Calibri"/>
                <w:lang w:val="fr-CA"/>
              </w:rPr>
              <w:br/>
              <w:t>échéant, la date de leur modification :</w:t>
            </w:r>
          </w:p>
          <w:p w14:paraId="4B453270" w14:textId="236FA126" w:rsidR="00FA05FB" w:rsidRPr="00A92CED" w:rsidRDefault="00FA05FB" w:rsidP="00D42AB0">
            <w:pPr>
              <w:ind w:left="720"/>
              <w:rPr>
                <w:rFonts w:ascii="Calibri" w:hAnsi="Calibri" w:cs="Calibri"/>
                <w:b/>
                <w:bCs/>
                <w:lang w:val="fr-CA"/>
              </w:rPr>
            </w:pPr>
            <w:r w:rsidRPr="00A92CED">
              <w:rPr>
                <w:rFonts w:ascii="Calibri" w:hAnsi="Calibri" w:cs="Calibri"/>
                <w:lang w:val="fr-CA"/>
              </w:rPr>
              <w:t>a)</w:t>
            </w:r>
            <w:r w:rsidRPr="00A92CED">
              <w:rPr>
                <w:rFonts w:ascii="Calibri" w:hAnsi="Calibri" w:cs="Calibri"/>
                <w:b/>
                <w:bCs/>
                <w:lang w:val="fr-CA"/>
              </w:rPr>
              <w:t xml:space="preserve"> </w:t>
            </w:r>
            <w:r w:rsidRPr="00A92CED">
              <w:rPr>
                <w:rFonts w:ascii="Calibri" w:hAnsi="Calibri" w:cs="Calibri"/>
                <w:lang w:val="fr-CA"/>
              </w:rPr>
              <w:t xml:space="preserve">toute évaluation environnementale de la </w:t>
            </w:r>
            <w:r w:rsidRPr="00A92CED">
              <w:rPr>
                <w:rFonts w:ascii="Calibri" w:hAnsi="Calibri" w:cs="Calibri"/>
                <w:lang w:val="fr-CA"/>
              </w:rPr>
              <w:lastRenderedPageBreak/>
              <w:t>fabrique,</w:t>
            </w:r>
            <w:r w:rsidRPr="00A92CED">
              <w:rPr>
                <w:rFonts w:ascii="Calibri" w:hAnsi="Calibri" w:cs="Calibri"/>
                <w:lang w:val="fr-CA"/>
              </w:rPr>
              <w:br/>
              <w:t>du site satellite ou du site client et des opérations qui y seront effectuées;</w:t>
            </w:r>
          </w:p>
        </w:tc>
        <w:tc>
          <w:tcPr>
            <w:tcW w:w="4076" w:type="dxa"/>
          </w:tcPr>
          <w:p w14:paraId="38ACBD9E" w14:textId="44C97528" w:rsidR="00FA05FB" w:rsidRPr="00A92CED" w:rsidRDefault="00AA66DB" w:rsidP="00817532">
            <w:pPr>
              <w:rPr>
                <w:lang w:val="fr-CA"/>
              </w:rPr>
            </w:pPr>
            <w:r w:rsidRPr="00A92CED">
              <w:rPr>
                <w:bCs/>
                <w:lang w:val="fr-CA"/>
              </w:rPr>
              <w:lastRenderedPageBreak/>
              <w:t>Modifier l</w:t>
            </w:r>
            <w:r w:rsidR="0030467D" w:rsidRPr="00A92CED">
              <w:rPr>
                <w:bCs/>
                <w:lang w:val="fr-CA"/>
              </w:rPr>
              <w:t>’</w:t>
            </w:r>
            <w:r w:rsidRPr="00A92CED">
              <w:rPr>
                <w:bCs/>
                <w:lang w:val="fr-CA"/>
              </w:rPr>
              <w:t xml:space="preserve">alinéa 60(8)a) pour remplacer </w:t>
            </w:r>
            <w:r w:rsidRPr="00A92CED">
              <w:rPr>
                <w:rFonts w:cstheme="minorHAnsi"/>
                <w:bCs/>
                <w:lang w:val="fr-CA"/>
              </w:rPr>
              <w:t>« toute évaluation environnementale </w:t>
            </w:r>
            <w:r w:rsidRPr="00A92CED">
              <w:rPr>
                <w:rFonts w:ascii="Calibri" w:hAnsi="Calibri" w:cs="Calibri"/>
                <w:bCs/>
                <w:lang w:val="fr-CA"/>
              </w:rPr>
              <w:t xml:space="preserve">» par </w:t>
            </w:r>
            <w:r w:rsidRPr="00A92CED">
              <w:rPr>
                <w:rFonts w:cstheme="minorHAnsi"/>
                <w:bCs/>
                <w:lang w:val="fr-CA"/>
              </w:rPr>
              <w:t>« toute consultation des Autochtones ou toute évaluation environnementale à l</w:t>
            </w:r>
            <w:r w:rsidR="0030467D" w:rsidRPr="00A92CED">
              <w:rPr>
                <w:rFonts w:cstheme="minorHAnsi"/>
                <w:bCs/>
                <w:lang w:val="fr-CA"/>
              </w:rPr>
              <w:t>’</w:t>
            </w:r>
            <w:r w:rsidRPr="00A92CED">
              <w:rPr>
                <w:rFonts w:cstheme="minorHAnsi"/>
                <w:bCs/>
                <w:lang w:val="fr-CA"/>
              </w:rPr>
              <w:t>égard </w:t>
            </w:r>
            <w:r w:rsidRPr="00A92CED">
              <w:rPr>
                <w:rFonts w:ascii="Calibri" w:hAnsi="Calibri" w:cs="Calibri"/>
                <w:bCs/>
                <w:lang w:val="fr-CA"/>
              </w:rPr>
              <w:t>».</w:t>
            </w:r>
          </w:p>
        </w:tc>
        <w:tc>
          <w:tcPr>
            <w:tcW w:w="3143" w:type="dxa"/>
            <w:gridSpan w:val="2"/>
          </w:tcPr>
          <w:p w14:paraId="55F32273" w14:textId="57DFCCA3" w:rsidR="00FA05FB" w:rsidRPr="00A92CED" w:rsidRDefault="00AA66DB" w:rsidP="00817532">
            <w:pPr>
              <w:rPr>
                <w:b/>
                <w:lang w:val="fr-CA"/>
              </w:rPr>
            </w:pPr>
            <w:r w:rsidRPr="00A92CED">
              <w:rPr>
                <w:lang w:val="fr-CA"/>
              </w:rPr>
              <w:t>Cet amendement proposé appuie l</w:t>
            </w:r>
            <w:r w:rsidR="0030467D" w:rsidRPr="00A92CED">
              <w:rPr>
                <w:lang w:val="fr-CA"/>
              </w:rPr>
              <w:t>’</w:t>
            </w:r>
            <w:r w:rsidRPr="00A92CED">
              <w:rPr>
                <w:lang w:val="fr-CA"/>
              </w:rPr>
              <w:t>intention de la politique d</w:t>
            </w:r>
            <w:r w:rsidR="0030467D" w:rsidRPr="00A92CED">
              <w:rPr>
                <w:lang w:val="fr-CA"/>
              </w:rPr>
              <w:t>’</w:t>
            </w:r>
            <w:r w:rsidRPr="00A92CED">
              <w:rPr>
                <w:lang w:val="fr-CA"/>
              </w:rPr>
              <w:t>inclure la consultation des Autochtones dans le cadre du processus de demande d</w:t>
            </w:r>
            <w:r w:rsidR="0030467D" w:rsidRPr="00A92CED">
              <w:rPr>
                <w:lang w:val="fr-CA"/>
              </w:rPr>
              <w:t>’</w:t>
            </w:r>
            <w:r w:rsidRPr="00A92CED">
              <w:rPr>
                <w:lang w:val="fr-CA"/>
              </w:rPr>
              <w:t xml:space="preserve">une </w:t>
            </w:r>
            <w:r w:rsidRPr="00A92CED">
              <w:rPr>
                <w:lang w:val="fr-CA"/>
              </w:rPr>
              <w:lastRenderedPageBreak/>
              <w:t xml:space="preserve">nouvelle licence </w:t>
            </w:r>
            <w:r w:rsidR="002932C8" w:rsidRPr="00A92CED">
              <w:rPr>
                <w:lang w:val="fr-CA"/>
              </w:rPr>
              <w:t>de fabrique de la section 1.</w:t>
            </w:r>
          </w:p>
        </w:tc>
        <w:tc>
          <w:tcPr>
            <w:tcW w:w="3087" w:type="dxa"/>
          </w:tcPr>
          <w:p w14:paraId="206BE261" w14:textId="77777777" w:rsidR="00FA05FB" w:rsidRPr="00A92CED" w:rsidRDefault="00FA05FB" w:rsidP="00817532">
            <w:pPr>
              <w:rPr>
                <w:b/>
                <w:lang w:val="fr-CA"/>
              </w:rPr>
            </w:pPr>
          </w:p>
        </w:tc>
      </w:tr>
      <w:tr w:rsidR="00A92CED" w:rsidRPr="00A92CED" w14:paraId="7184C181" w14:textId="65D8555D" w:rsidTr="00E10233">
        <w:tc>
          <w:tcPr>
            <w:tcW w:w="3126" w:type="dxa"/>
          </w:tcPr>
          <w:p w14:paraId="60A55DCB" w14:textId="77777777" w:rsidR="00FA05FB" w:rsidRPr="00A92CED" w:rsidRDefault="00FA05FB">
            <w:pPr>
              <w:pStyle w:val="ListParagraph"/>
              <w:numPr>
                <w:ilvl w:val="0"/>
                <w:numId w:val="1"/>
              </w:numPr>
              <w:jc w:val="center"/>
              <w:rPr>
                <w:lang w:val="fr-CA"/>
              </w:rPr>
            </w:pPr>
          </w:p>
        </w:tc>
        <w:tc>
          <w:tcPr>
            <w:tcW w:w="3715" w:type="dxa"/>
          </w:tcPr>
          <w:p w14:paraId="35BF3774" w14:textId="4515E66F" w:rsidR="00FA05FB" w:rsidRPr="00A92CED" w:rsidRDefault="00FA05FB" w:rsidP="00817532">
            <w:pPr>
              <w:rPr>
                <w:rFonts w:ascii="Calibri" w:hAnsi="Calibri" w:cs="Calibri"/>
                <w:lang w:val="fr-CA"/>
              </w:rPr>
            </w:pPr>
            <w:r w:rsidRPr="00A92CED">
              <w:rPr>
                <w:rFonts w:ascii="Calibri" w:hAnsi="Calibri" w:cs="Calibri"/>
                <w:b/>
                <w:bCs/>
                <w:lang w:val="fr-CA"/>
              </w:rPr>
              <w:t xml:space="preserve">67 </w:t>
            </w:r>
            <w:r w:rsidRPr="00A92CED">
              <w:rPr>
                <w:rFonts w:ascii="Calibri" w:hAnsi="Calibri" w:cs="Calibri"/>
                <w:lang w:val="fr-CA"/>
              </w:rPr>
              <w:t>(1) À l</w:t>
            </w:r>
            <w:r w:rsidR="0030467D" w:rsidRPr="00A92CED">
              <w:rPr>
                <w:rFonts w:ascii="Calibri" w:hAnsi="Calibri" w:cs="Calibri"/>
                <w:lang w:val="fr-CA"/>
              </w:rPr>
              <w:t>’</w:t>
            </w:r>
            <w:r w:rsidRPr="00A92CED">
              <w:rPr>
                <w:rFonts w:ascii="Calibri" w:hAnsi="Calibri" w:cs="Calibri"/>
                <w:lang w:val="fr-CA"/>
              </w:rPr>
              <w:t>approche d</w:t>
            </w:r>
            <w:r w:rsidR="0030467D" w:rsidRPr="00A92CED">
              <w:rPr>
                <w:rFonts w:ascii="Calibri" w:hAnsi="Calibri" w:cs="Calibri"/>
                <w:lang w:val="fr-CA"/>
              </w:rPr>
              <w:t>’</w:t>
            </w:r>
            <w:r w:rsidRPr="00A92CED">
              <w:rPr>
                <w:rFonts w:ascii="Calibri" w:hAnsi="Calibri" w:cs="Calibri"/>
                <w:lang w:val="fr-CA"/>
              </w:rPr>
              <w:t>un orage et pendant celui-ci, la procédure ci-après est suivie :</w:t>
            </w:r>
          </w:p>
          <w:p w14:paraId="430C1361" w14:textId="2511DA52" w:rsidR="00FA05FB" w:rsidRPr="00A92CED" w:rsidRDefault="00FA05FB" w:rsidP="00D97FB8">
            <w:pPr>
              <w:ind w:left="720"/>
              <w:rPr>
                <w:rStyle w:val="fontstyle01"/>
                <w:rFonts w:ascii="Calibri" w:hAnsi="Calibri" w:cs="Calibri"/>
                <w:color w:val="auto"/>
                <w:sz w:val="22"/>
                <w:szCs w:val="22"/>
                <w:lang w:val="fr-CA"/>
              </w:rPr>
            </w:pPr>
            <w:r w:rsidRPr="00A92CED">
              <w:rPr>
                <w:rFonts w:ascii="Calibri" w:hAnsi="Calibri" w:cs="Calibri"/>
                <w:lang w:val="fr-CA"/>
              </w:rPr>
              <w:t>a) toutes les opérations de fabrication dans l</w:t>
            </w:r>
            <w:r w:rsidR="0030467D" w:rsidRPr="00A92CED">
              <w:rPr>
                <w:rFonts w:ascii="Calibri" w:hAnsi="Calibri" w:cs="Calibri"/>
                <w:lang w:val="fr-CA"/>
              </w:rPr>
              <w:t>’</w:t>
            </w:r>
            <w:r w:rsidRPr="00A92CED">
              <w:rPr>
                <w:rFonts w:ascii="Calibri" w:hAnsi="Calibri" w:cs="Calibri"/>
                <w:lang w:val="fr-CA"/>
              </w:rPr>
              <w:t>unité de fabrication qui peuvent être interrompues en toute sécurité le sont;</w:t>
            </w:r>
            <w:r w:rsidRPr="00A92CED">
              <w:rPr>
                <w:rFonts w:ascii="Calibri" w:hAnsi="Calibri" w:cs="Calibri"/>
                <w:lang w:val="fr-CA"/>
              </w:rPr>
              <w:br/>
              <w:t>b) toutes les entrées de la poudrière de fabrique contenant des *explosifs sont fermées;</w:t>
            </w:r>
            <w:r w:rsidRPr="00A92CED">
              <w:rPr>
                <w:rFonts w:ascii="Calibri" w:hAnsi="Calibri" w:cs="Calibri"/>
                <w:lang w:val="fr-CA"/>
              </w:rPr>
              <w:br/>
              <w:t>c)</w:t>
            </w:r>
            <w:r w:rsidRPr="00A92CED">
              <w:rPr>
                <w:rFonts w:ascii="Calibri" w:hAnsi="Calibri" w:cs="Calibri"/>
                <w:b/>
                <w:bCs/>
                <w:lang w:val="fr-CA"/>
              </w:rPr>
              <w:t xml:space="preserve"> </w:t>
            </w:r>
            <w:r w:rsidRPr="00A92CED">
              <w:rPr>
                <w:rFonts w:ascii="Calibri" w:hAnsi="Calibri" w:cs="Calibri"/>
                <w:lang w:val="fr-CA"/>
              </w:rPr>
              <w:t>toute unité de transport contenant des explosifs est</w:t>
            </w:r>
            <w:r w:rsidRPr="00A92CED">
              <w:rPr>
                <w:rFonts w:ascii="Calibri" w:hAnsi="Calibri" w:cs="Calibri"/>
                <w:lang w:val="fr-CA"/>
              </w:rPr>
              <w:br/>
              <w:t>immédiatement placée dans un lieu sécuritaire et isolé;</w:t>
            </w:r>
            <w:r w:rsidRPr="00A92CED">
              <w:rPr>
                <w:rFonts w:ascii="Calibri" w:hAnsi="Calibri" w:cs="Calibri"/>
                <w:lang w:val="fr-CA"/>
              </w:rPr>
              <w:br/>
              <w:t>d)</w:t>
            </w:r>
            <w:r w:rsidRPr="00A92CED">
              <w:rPr>
                <w:rFonts w:ascii="Calibri" w:hAnsi="Calibri" w:cs="Calibri"/>
                <w:b/>
                <w:bCs/>
                <w:lang w:val="fr-CA"/>
              </w:rPr>
              <w:t xml:space="preserve"> </w:t>
            </w:r>
            <w:r w:rsidRPr="00A92CED">
              <w:rPr>
                <w:rFonts w:ascii="Calibri" w:hAnsi="Calibri" w:cs="Calibri"/>
                <w:lang w:val="fr-CA"/>
              </w:rPr>
              <w:t>les personnes qui se trouvent à la fabrique et à tout site satellite sont évacuées sans délai vers un lieu sécuritaire et, jusqu</w:t>
            </w:r>
            <w:r w:rsidR="0030467D" w:rsidRPr="00A92CED">
              <w:rPr>
                <w:rFonts w:ascii="Calibri" w:hAnsi="Calibri" w:cs="Calibri"/>
                <w:lang w:val="fr-CA"/>
              </w:rPr>
              <w:t>’</w:t>
            </w:r>
            <w:r w:rsidRPr="00A92CED">
              <w:rPr>
                <w:rFonts w:ascii="Calibri" w:hAnsi="Calibri" w:cs="Calibri"/>
                <w:lang w:val="fr-CA"/>
              </w:rPr>
              <w:t>à ce que l</w:t>
            </w:r>
            <w:r w:rsidR="0030467D" w:rsidRPr="00A92CED">
              <w:rPr>
                <w:rFonts w:ascii="Calibri" w:hAnsi="Calibri" w:cs="Calibri"/>
                <w:lang w:val="fr-CA"/>
              </w:rPr>
              <w:t>’</w:t>
            </w:r>
            <w:r w:rsidRPr="00A92CED">
              <w:rPr>
                <w:rFonts w:ascii="Calibri" w:hAnsi="Calibri" w:cs="Calibri"/>
                <w:lang w:val="fr-CA"/>
              </w:rPr>
              <w:t>orage soit passé, il leur est interdit — y compris par une action ou un moyen matériel — de retourner à la fabrique ou au site satellite.</w:t>
            </w:r>
          </w:p>
        </w:tc>
        <w:tc>
          <w:tcPr>
            <w:tcW w:w="4076" w:type="dxa"/>
          </w:tcPr>
          <w:p w14:paraId="415059E3" w14:textId="60337F6E" w:rsidR="00FA05FB" w:rsidRPr="00A92CED" w:rsidRDefault="002932C8" w:rsidP="00817532">
            <w:pPr>
              <w:rPr>
                <w:lang w:val="fr-CA"/>
              </w:rPr>
            </w:pPr>
            <w:r w:rsidRPr="00A92CED">
              <w:rPr>
                <w:bCs/>
                <w:lang w:val="fr-CA"/>
              </w:rPr>
              <w:t xml:space="preserve">Modifier le paragraphe 67(1) pour ajouter une exception aux exigences des alinéas a) à d) pour les activités effectuées dans une mine ou dans un chantier de construction souterrains. </w:t>
            </w:r>
          </w:p>
        </w:tc>
        <w:tc>
          <w:tcPr>
            <w:tcW w:w="3143" w:type="dxa"/>
            <w:gridSpan w:val="2"/>
          </w:tcPr>
          <w:p w14:paraId="429537A6" w14:textId="67BC0EEA" w:rsidR="00FA05FB" w:rsidRPr="00A92CED" w:rsidRDefault="002932C8" w:rsidP="00817532">
            <w:pPr>
              <w:rPr>
                <w:b/>
                <w:lang w:val="fr-CA"/>
              </w:rPr>
            </w:pPr>
            <w:r w:rsidRPr="00A92CED">
              <w:rPr>
                <w:rFonts w:cstheme="minorHAnsi"/>
                <w:lang w:val="fr-CA"/>
              </w:rPr>
              <w:t>Cet amendement proposé appuie l</w:t>
            </w:r>
            <w:r w:rsidR="0030467D" w:rsidRPr="00A92CED">
              <w:rPr>
                <w:rFonts w:cstheme="minorHAnsi"/>
                <w:lang w:val="fr-CA"/>
              </w:rPr>
              <w:t>’</w:t>
            </w:r>
            <w:r w:rsidRPr="00A92CED">
              <w:rPr>
                <w:rFonts w:cstheme="minorHAnsi"/>
                <w:lang w:val="fr-CA"/>
              </w:rPr>
              <w:t>amendement proposé au point </w:t>
            </w:r>
            <w:r w:rsidR="002C1362" w:rsidRPr="00A92CED">
              <w:rPr>
                <w:rFonts w:cstheme="minorHAnsi"/>
                <w:lang w:val="fr-CA"/>
              </w:rPr>
              <w:t>48</w:t>
            </w:r>
            <w:r w:rsidRPr="00A92CED">
              <w:rPr>
                <w:rFonts w:cstheme="minorHAnsi"/>
                <w:lang w:val="fr-CA"/>
              </w:rPr>
              <w:t xml:space="preserve"> du présent document de consultation, qui vise à reclasser les activités de fabrication souterraine de la section 3 à la section 1 de la partie 5. Il est peu probable que les activités de fabrication souterraine soient affectées par un orage.</w:t>
            </w:r>
          </w:p>
        </w:tc>
        <w:tc>
          <w:tcPr>
            <w:tcW w:w="3087" w:type="dxa"/>
          </w:tcPr>
          <w:p w14:paraId="374FBE7B" w14:textId="77777777" w:rsidR="00FA05FB" w:rsidRPr="00A92CED" w:rsidRDefault="00FA05FB" w:rsidP="00817532">
            <w:pPr>
              <w:rPr>
                <w:b/>
                <w:lang w:val="fr-CA"/>
              </w:rPr>
            </w:pPr>
          </w:p>
        </w:tc>
      </w:tr>
      <w:tr w:rsidR="00A92CED" w:rsidRPr="00A92CED" w14:paraId="23C0CCE9" w14:textId="094B4B87" w:rsidTr="00E10233">
        <w:tc>
          <w:tcPr>
            <w:tcW w:w="3126" w:type="dxa"/>
          </w:tcPr>
          <w:p w14:paraId="10594B9B" w14:textId="77777777" w:rsidR="00FA05FB" w:rsidRPr="00A92CED" w:rsidRDefault="00FA05FB">
            <w:pPr>
              <w:pStyle w:val="ListParagraph"/>
              <w:numPr>
                <w:ilvl w:val="0"/>
                <w:numId w:val="1"/>
              </w:numPr>
              <w:jc w:val="center"/>
              <w:rPr>
                <w:lang w:val="fr-CA"/>
              </w:rPr>
            </w:pPr>
          </w:p>
        </w:tc>
        <w:tc>
          <w:tcPr>
            <w:tcW w:w="3715" w:type="dxa"/>
          </w:tcPr>
          <w:p w14:paraId="4CB641FD" w14:textId="598E5511" w:rsidR="00FA05FB" w:rsidRPr="00A92CED" w:rsidRDefault="00FA05FB" w:rsidP="00817532">
            <w:pPr>
              <w:rPr>
                <w:rStyle w:val="fontstyle01"/>
                <w:rFonts w:ascii="Calibri" w:hAnsi="Calibri" w:cs="Calibri"/>
                <w:color w:val="auto"/>
                <w:sz w:val="22"/>
                <w:szCs w:val="22"/>
                <w:lang w:val="fr-CA"/>
              </w:rPr>
            </w:pPr>
            <w:r w:rsidRPr="00A92CED">
              <w:rPr>
                <w:rStyle w:val="fontstyle01"/>
                <w:rFonts w:ascii="Calibri" w:hAnsi="Calibri" w:cs="Calibri"/>
                <w:color w:val="auto"/>
                <w:sz w:val="22"/>
                <w:szCs w:val="22"/>
                <w:lang w:val="fr-CA"/>
              </w:rPr>
              <w:t xml:space="preserve">70 </w:t>
            </w:r>
            <w:r w:rsidRPr="00A92CED">
              <w:rPr>
                <w:rStyle w:val="fontstyle21"/>
                <w:rFonts w:ascii="Calibri" w:hAnsi="Calibri" w:cs="Calibri"/>
                <w:color w:val="auto"/>
                <w:sz w:val="22"/>
                <w:szCs w:val="22"/>
                <w:lang w:val="fr-CA"/>
              </w:rPr>
              <w:t>Un panneau interdisant l</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 xml:space="preserve">accès non autorisé est apposé dans un endroit bien en vue à chaque entrée de la </w:t>
            </w:r>
            <w:r w:rsidRPr="00A92CED">
              <w:rPr>
                <w:rStyle w:val="fontstyle21"/>
                <w:rFonts w:ascii="Calibri" w:hAnsi="Calibri" w:cs="Calibri"/>
                <w:color w:val="auto"/>
                <w:sz w:val="22"/>
                <w:szCs w:val="22"/>
                <w:lang w:val="fr-CA"/>
              </w:rPr>
              <w:lastRenderedPageBreak/>
              <w:t>fabrique ou d</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un site satellite. Il contient un avertissement sur les dangers que peuvent poser les *explosifs et indique les précautions à prendre pour éliminer toute possibilité d</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un allumage accidentel.</w:t>
            </w:r>
          </w:p>
        </w:tc>
        <w:tc>
          <w:tcPr>
            <w:tcW w:w="4076" w:type="dxa"/>
          </w:tcPr>
          <w:p w14:paraId="070E6819" w14:textId="4281583B" w:rsidR="00FA05FB" w:rsidRPr="00A92CED" w:rsidRDefault="002932C8" w:rsidP="00817532">
            <w:pPr>
              <w:rPr>
                <w:lang w:val="fr-CA"/>
              </w:rPr>
            </w:pPr>
            <w:r w:rsidRPr="00A92CED">
              <w:rPr>
                <w:bCs/>
                <w:lang w:val="fr-CA"/>
              </w:rPr>
              <w:lastRenderedPageBreak/>
              <w:t>Modifier l</w:t>
            </w:r>
            <w:r w:rsidR="0030467D" w:rsidRPr="00A92CED">
              <w:rPr>
                <w:bCs/>
                <w:lang w:val="fr-CA"/>
              </w:rPr>
              <w:t>’</w:t>
            </w:r>
            <w:r w:rsidRPr="00A92CED">
              <w:rPr>
                <w:bCs/>
                <w:lang w:val="fr-CA"/>
              </w:rPr>
              <w:t xml:space="preserve">article 70 pour préciser </w:t>
            </w:r>
            <w:r w:rsidR="002F1FBD" w:rsidRPr="00A92CED">
              <w:rPr>
                <w:bCs/>
                <w:lang w:val="fr-CA"/>
              </w:rPr>
              <w:t>que le titulaire de licence doit apposer</w:t>
            </w:r>
            <w:r w:rsidR="00C357EB" w:rsidRPr="00A92CED">
              <w:rPr>
                <w:bCs/>
                <w:lang w:val="fr-CA"/>
              </w:rPr>
              <w:t xml:space="preserve"> sur le périmètre de la fabrique ou d</w:t>
            </w:r>
            <w:r w:rsidR="0030467D" w:rsidRPr="00A92CED">
              <w:rPr>
                <w:bCs/>
                <w:lang w:val="fr-CA"/>
              </w:rPr>
              <w:t>’</w:t>
            </w:r>
            <w:r w:rsidR="00C357EB" w:rsidRPr="00A92CED">
              <w:rPr>
                <w:bCs/>
                <w:lang w:val="fr-CA"/>
              </w:rPr>
              <w:t xml:space="preserve">un site </w:t>
            </w:r>
            <w:r w:rsidR="00C357EB" w:rsidRPr="00A92CED">
              <w:rPr>
                <w:bCs/>
                <w:lang w:val="fr-CA"/>
              </w:rPr>
              <w:lastRenderedPageBreak/>
              <w:t>satellite</w:t>
            </w:r>
            <w:r w:rsidR="002F1FBD" w:rsidRPr="00A92CED">
              <w:rPr>
                <w:bCs/>
                <w:lang w:val="fr-CA"/>
              </w:rPr>
              <w:t xml:space="preserve"> autant de panneaux interdisant l</w:t>
            </w:r>
            <w:r w:rsidR="0030467D" w:rsidRPr="00A92CED">
              <w:rPr>
                <w:bCs/>
                <w:lang w:val="fr-CA"/>
              </w:rPr>
              <w:t>’</w:t>
            </w:r>
            <w:r w:rsidR="002F1FBD" w:rsidRPr="00A92CED">
              <w:rPr>
                <w:bCs/>
                <w:lang w:val="fr-CA"/>
              </w:rPr>
              <w:t xml:space="preserve">accès non autorisé que nécessaire pour </w:t>
            </w:r>
            <w:r w:rsidR="00C357EB" w:rsidRPr="00A92CED">
              <w:rPr>
                <w:bCs/>
                <w:lang w:val="fr-CA"/>
              </w:rPr>
              <w:t>qu</w:t>
            </w:r>
            <w:r w:rsidR="0030467D" w:rsidRPr="00A92CED">
              <w:rPr>
                <w:bCs/>
                <w:lang w:val="fr-CA"/>
              </w:rPr>
              <w:t>’</w:t>
            </w:r>
            <w:r w:rsidR="00C357EB" w:rsidRPr="00A92CED">
              <w:rPr>
                <w:bCs/>
                <w:lang w:val="fr-CA"/>
              </w:rPr>
              <w:t>un panneau soit bien en vue de toute personne s</w:t>
            </w:r>
            <w:r w:rsidR="0030467D" w:rsidRPr="00A92CED">
              <w:rPr>
                <w:bCs/>
                <w:lang w:val="fr-CA"/>
              </w:rPr>
              <w:t>’</w:t>
            </w:r>
            <w:r w:rsidR="00C357EB" w:rsidRPr="00A92CED">
              <w:rPr>
                <w:bCs/>
                <w:lang w:val="fr-CA"/>
              </w:rPr>
              <w:t>approchant de la fabrique ou d</w:t>
            </w:r>
            <w:r w:rsidR="0030467D" w:rsidRPr="00A92CED">
              <w:rPr>
                <w:bCs/>
                <w:lang w:val="fr-CA"/>
              </w:rPr>
              <w:t>’</w:t>
            </w:r>
            <w:r w:rsidR="00C357EB" w:rsidRPr="00A92CED">
              <w:rPr>
                <w:bCs/>
                <w:lang w:val="fr-CA"/>
              </w:rPr>
              <w:t>un site satellite, y compris à chaque entrée de la fabrique ou d</w:t>
            </w:r>
            <w:r w:rsidR="0030467D" w:rsidRPr="00A92CED">
              <w:rPr>
                <w:bCs/>
                <w:lang w:val="fr-CA"/>
              </w:rPr>
              <w:t>’</w:t>
            </w:r>
            <w:r w:rsidR="00C357EB" w:rsidRPr="00A92CED">
              <w:rPr>
                <w:bCs/>
                <w:lang w:val="fr-CA"/>
              </w:rPr>
              <w:t>un site satellite. Chaque panneau doit indiquer les précautions à prendre pour éliminer toute possibilité d</w:t>
            </w:r>
            <w:r w:rsidR="0030467D" w:rsidRPr="00A92CED">
              <w:rPr>
                <w:bCs/>
                <w:lang w:val="fr-CA"/>
              </w:rPr>
              <w:t>’</w:t>
            </w:r>
            <w:r w:rsidR="00C357EB" w:rsidRPr="00A92CED">
              <w:rPr>
                <w:bCs/>
                <w:lang w:val="fr-CA"/>
              </w:rPr>
              <w:t>un allumage accidentel et, à moins qu</w:t>
            </w:r>
            <w:r w:rsidR="0030467D" w:rsidRPr="00A92CED">
              <w:rPr>
                <w:bCs/>
                <w:lang w:val="fr-CA"/>
              </w:rPr>
              <w:t>’</w:t>
            </w:r>
            <w:r w:rsidR="00C01289" w:rsidRPr="00A92CED">
              <w:rPr>
                <w:bCs/>
                <w:lang w:val="fr-CA"/>
              </w:rPr>
              <w:t xml:space="preserve">il </w:t>
            </w:r>
            <w:r w:rsidR="00C357EB" w:rsidRPr="00A92CED">
              <w:rPr>
                <w:bCs/>
                <w:lang w:val="fr-CA"/>
              </w:rPr>
              <w:t>puisse nuire à la sécurité en attirant indûment l</w:t>
            </w:r>
            <w:r w:rsidR="0030467D" w:rsidRPr="00A92CED">
              <w:rPr>
                <w:bCs/>
                <w:lang w:val="fr-CA"/>
              </w:rPr>
              <w:t>’</w:t>
            </w:r>
            <w:r w:rsidR="00C357EB" w:rsidRPr="00A92CED">
              <w:rPr>
                <w:bCs/>
                <w:lang w:val="fr-CA"/>
              </w:rPr>
              <w:t xml:space="preserve">attention, chaque panneau doit </w:t>
            </w:r>
            <w:r w:rsidR="00C01289" w:rsidRPr="00A92CED">
              <w:rPr>
                <w:bCs/>
                <w:lang w:val="fr-CA"/>
              </w:rPr>
              <w:t>contenir un avertissement sur les dangers que peuvent poser les explosifs.</w:t>
            </w:r>
          </w:p>
        </w:tc>
        <w:tc>
          <w:tcPr>
            <w:tcW w:w="3143" w:type="dxa"/>
            <w:gridSpan w:val="2"/>
          </w:tcPr>
          <w:p w14:paraId="4EBC2ABF" w14:textId="60E04818" w:rsidR="00FA05FB" w:rsidRPr="00A92CED" w:rsidRDefault="002F1FBD" w:rsidP="00B031E3">
            <w:pPr>
              <w:rPr>
                <w:b/>
                <w:lang w:val="fr-CA"/>
              </w:rPr>
            </w:pPr>
            <w:r w:rsidRPr="00A92CED">
              <w:rPr>
                <w:lang w:val="fr-CA"/>
              </w:rPr>
              <w:lastRenderedPageBreak/>
              <w:t xml:space="preserve">Cet amendement proposé vise à </w:t>
            </w:r>
            <w:r w:rsidR="00B031E3" w:rsidRPr="00A92CED">
              <w:rPr>
                <w:lang w:val="fr-CA"/>
              </w:rPr>
              <w:t>mettre à jour l’article</w:t>
            </w:r>
            <w:r w:rsidR="00B031E3" w:rsidRPr="00A92CED">
              <w:rPr>
                <w:lang w:val="fr-CA"/>
              </w:rPr>
              <w:t> </w:t>
            </w:r>
            <w:r w:rsidR="00B031E3" w:rsidRPr="00A92CED">
              <w:rPr>
                <w:lang w:val="fr-CA"/>
              </w:rPr>
              <w:t xml:space="preserve">70 pour </w:t>
            </w:r>
            <w:r w:rsidR="00B031E3" w:rsidRPr="00A92CED">
              <w:rPr>
                <w:lang w:val="fr-CA"/>
              </w:rPr>
              <w:lastRenderedPageBreak/>
              <w:t>qu’il soit plus souple et axé sur le rendement</w:t>
            </w:r>
            <w:r w:rsidRPr="00A92CED">
              <w:rPr>
                <w:lang w:val="fr-CA"/>
              </w:rPr>
              <w:t>.</w:t>
            </w:r>
          </w:p>
        </w:tc>
        <w:tc>
          <w:tcPr>
            <w:tcW w:w="3087" w:type="dxa"/>
          </w:tcPr>
          <w:p w14:paraId="289D4187" w14:textId="77777777" w:rsidR="00FA05FB" w:rsidRPr="00A92CED" w:rsidRDefault="00FA05FB" w:rsidP="00817532">
            <w:pPr>
              <w:rPr>
                <w:b/>
                <w:lang w:val="fr-CA"/>
              </w:rPr>
            </w:pPr>
          </w:p>
        </w:tc>
      </w:tr>
      <w:tr w:rsidR="00A92CED" w:rsidRPr="00A92CED" w14:paraId="39F98F9F" w14:textId="33E79676" w:rsidTr="00E10233">
        <w:tc>
          <w:tcPr>
            <w:tcW w:w="3126" w:type="dxa"/>
          </w:tcPr>
          <w:p w14:paraId="3681D339" w14:textId="77777777" w:rsidR="00FA05FB" w:rsidRPr="00A92CED" w:rsidRDefault="00FA05FB">
            <w:pPr>
              <w:pStyle w:val="ListParagraph"/>
              <w:numPr>
                <w:ilvl w:val="0"/>
                <w:numId w:val="1"/>
              </w:numPr>
              <w:jc w:val="center"/>
              <w:rPr>
                <w:lang w:val="fr-CA"/>
              </w:rPr>
            </w:pPr>
          </w:p>
        </w:tc>
        <w:tc>
          <w:tcPr>
            <w:tcW w:w="3715" w:type="dxa"/>
          </w:tcPr>
          <w:p w14:paraId="64F1A7E4" w14:textId="25C2C4A6" w:rsidR="00FA05FB" w:rsidRPr="00A92CED" w:rsidRDefault="00FA05FB" w:rsidP="00817532">
            <w:pPr>
              <w:rPr>
                <w:rStyle w:val="fontstyle01"/>
                <w:rFonts w:ascii="Calibri" w:hAnsi="Calibri" w:cs="Calibri"/>
                <w:b w:val="0"/>
                <w:bCs w:val="0"/>
                <w:color w:val="auto"/>
                <w:sz w:val="22"/>
                <w:szCs w:val="22"/>
                <w:lang w:val="fr-CA"/>
              </w:rPr>
            </w:pPr>
            <w:r w:rsidRPr="00A92CED">
              <w:rPr>
                <w:rStyle w:val="fontstyle01"/>
                <w:rFonts w:ascii="Calibri" w:hAnsi="Calibri" w:cs="Calibri"/>
                <w:color w:val="auto"/>
                <w:sz w:val="22"/>
                <w:szCs w:val="22"/>
                <w:lang w:val="fr-CA"/>
              </w:rPr>
              <w:t xml:space="preserve">74 </w:t>
            </w:r>
            <w:r w:rsidRPr="00A92CED">
              <w:rPr>
                <w:rStyle w:val="fontstyle01"/>
                <w:rFonts w:ascii="Calibri" w:hAnsi="Calibri" w:cs="Calibri"/>
                <w:b w:val="0"/>
                <w:bCs w:val="0"/>
                <w:color w:val="auto"/>
                <w:sz w:val="22"/>
                <w:szCs w:val="22"/>
                <w:lang w:val="fr-CA"/>
              </w:rPr>
              <w:t>(1)</w:t>
            </w:r>
            <w:r w:rsidRPr="00A92CED">
              <w:rPr>
                <w:rStyle w:val="fontstyle01"/>
                <w:rFonts w:ascii="Calibri" w:hAnsi="Calibri" w:cs="Calibri"/>
                <w:color w:val="auto"/>
                <w:sz w:val="22"/>
                <w:szCs w:val="22"/>
                <w:lang w:val="fr-CA"/>
              </w:rPr>
              <w:t xml:space="preserve"> </w:t>
            </w:r>
            <w:r w:rsidRPr="00A92CED">
              <w:rPr>
                <w:rStyle w:val="fontstyle21"/>
                <w:rFonts w:ascii="Calibri" w:hAnsi="Calibri" w:cs="Calibri"/>
                <w:color w:val="auto"/>
                <w:sz w:val="22"/>
                <w:szCs w:val="22"/>
                <w:lang w:val="fr-CA"/>
              </w:rPr>
              <w:t>Les renseignements ci-après sont inscrits sur chaque *explosif qui a été fabriqué à la fabrique ou à un site satellite :</w:t>
            </w:r>
          </w:p>
          <w:p w14:paraId="3BFA8A86" w14:textId="11D3DC5D" w:rsidR="00FA05FB" w:rsidRPr="00A92CED" w:rsidRDefault="00FA05FB" w:rsidP="00AA3D54">
            <w:pPr>
              <w:ind w:left="720"/>
              <w:rPr>
                <w:rStyle w:val="fontstyle21"/>
                <w:rFonts w:ascii="Calibri" w:hAnsi="Calibri" w:cs="Calibri"/>
                <w:color w:val="auto"/>
                <w:sz w:val="22"/>
                <w:szCs w:val="22"/>
                <w:lang w:val="fr-CA"/>
              </w:rPr>
            </w:pPr>
            <w:r w:rsidRPr="00A92CED">
              <w:rPr>
                <w:rStyle w:val="fontstyle01"/>
                <w:rFonts w:ascii="Calibri" w:hAnsi="Calibri" w:cs="Calibri"/>
                <w:b w:val="0"/>
                <w:bCs w:val="0"/>
                <w:color w:val="auto"/>
                <w:sz w:val="22"/>
                <w:szCs w:val="22"/>
                <w:lang w:val="fr-CA"/>
              </w:rPr>
              <w:t>a)</w:t>
            </w:r>
            <w:r w:rsidRPr="00A92CED">
              <w:rPr>
                <w:rStyle w:val="fontstyle01"/>
                <w:rFonts w:ascii="Calibri" w:hAnsi="Calibri" w:cs="Calibri"/>
                <w:color w:val="auto"/>
                <w:sz w:val="22"/>
                <w:szCs w:val="22"/>
                <w:lang w:val="fr-CA"/>
              </w:rPr>
              <w:t xml:space="preserve"> </w:t>
            </w:r>
            <w:r w:rsidRPr="00A92CED">
              <w:rPr>
                <w:rStyle w:val="fontstyle21"/>
                <w:rFonts w:ascii="Calibri" w:hAnsi="Calibri" w:cs="Calibri"/>
                <w:color w:val="auto"/>
                <w:sz w:val="22"/>
                <w:szCs w:val="22"/>
                <w:lang w:val="fr-CA"/>
              </w:rPr>
              <w:t>les nom et adresse du titulaire de l</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autorisation de celui-ci;</w:t>
            </w:r>
            <w:r w:rsidRPr="00A92CED">
              <w:rPr>
                <w:rFonts w:ascii="Calibri" w:hAnsi="Calibri" w:cs="Calibri"/>
                <w:lang w:val="fr-CA"/>
              </w:rPr>
              <w:br/>
            </w:r>
            <w:r w:rsidRPr="00A92CED">
              <w:rPr>
                <w:rStyle w:val="fontstyle01"/>
                <w:rFonts w:ascii="Calibri" w:hAnsi="Calibri" w:cs="Calibri"/>
                <w:b w:val="0"/>
                <w:bCs w:val="0"/>
                <w:color w:val="auto"/>
                <w:sz w:val="22"/>
                <w:szCs w:val="22"/>
                <w:lang w:val="fr-CA"/>
              </w:rPr>
              <w:t>b)</w:t>
            </w:r>
            <w:r w:rsidRPr="00A92CED">
              <w:rPr>
                <w:rStyle w:val="fontstyle01"/>
                <w:rFonts w:ascii="Calibri" w:hAnsi="Calibri" w:cs="Calibri"/>
                <w:color w:val="auto"/>
                <w:sz w:val="22"/>
                <w:szCs w:val="22"/>
                <w:lang w:val="fr-CA"/>
              </w:rPr>
              <w:t xml:space="preserve"> </w:t>
            </w:r>
            <w:r w:rsidRPr="00A92CED">
              <w:rPr>
                <w:rStyle w:val="fontstyle21"/>
                <w:rFonts w:ascii="Calibri" w:hAnsi="Calibri" w:cs="Calibri"/>
                <w:color w:val="auto"/>
                <w:sz w:val="22"/>
                <w:szCs w:val="22"/>
                <w:lang w:val="fr-CA"/>
              </w:rPr>
              <w:t>soit la date de *fabrication et, le cas échéant, le quart de fabrication en cause, soit le numéro de lot;</w:t>
            </w:r>
            <w:r w:rsidRPr="00A92CED">
              <w:rPr>
                <w:rFonts w:ascii="Calibri" w:hAnsi="Calibri" w:cs="Calibri"/>
                <w:lang w:val="fr-CA"/>
              </w:rPr>
              <w:br/>
            </w:r>
            <w:r w:rsidRPr="00A92CED">
              <w:rPr>
                <w:rStyle w:val="fontstyle01"/>
                <w:rFonts w:ascii="Calibri" w:hAnsi="Calibri" w:cs="Calibri"/>
                <w:b w:val="0"/>
                <w:bCs w:val="0"/>
                <w:color w:val="auto"/>
                <w:sz w:val="22"/>
                <w:szCs w:val="22"/>
                <w:lang w:val="fr-CA"/>
              </w:rPr>
              <w:t>c)</w:t>
            </w:r>
            <w:r w:rsidRPr="00A92CED">
              <w:rPr>
                <w:rStyle w:val="fontstyle01"/>
                <w:rFonts w:ascii="Calibri" w:hAnsi="Calibri" w:cs="Calibri"/>
                <w:color w:val="auto"/>
                <w:sz w:val="22"/>
                <w:szCs w:val="22"/>
                <w:lang w:val="fr-CA"/>
              </w:rPr>
              <w:t xml:space="preserve"> </w:t>
            </w:r>
            <w:r w:rsidRPr="00A92CED">
              <w:rPr>
                <w:rStyle w:val="fontstyle21"/>
                <w:rFonts w:ascii="Calibri" w:hAnsi="Calibri" w:cs="Calibri"/>
                <w:color w:val="auto"/>
                <w:sz w:val="22"/>
                <w:szCs w:val="22"/>
                <w:lang w:val="fr-CA"/>
              </w:rPr>
              <w:t>le *nom de produit de l</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explosif;</w:t>
            </w:r>
            <w:r w:rsidRPr="00A92CED">
              <w:rPr>
                <w:rFonts w:ascii="Calibri" w:hAnsi="Calibri" w:cs="Calibri"/>
                <w:lang w:val="fr-CA"/>
              </w:rPr>
              <w:br/>
            </w:r>
            <w:r w:rsidRPr="00A92CED">
              <w:rPr>
                <w:rStyle w:val="fontstyle01"/>
                <w:rFonts w:ascii="Calibri" w:hAnsi="Calibri" w:cs="Calibri"/>
                <w:b w:val="0"/>
                <w:bCs w:val="0"/>
                <w:color w:val="auto"/>
                <w:sz w:val="22"/>
                <w:szCs w:val="22"/>
                <w:lang w:val="fr-CA"/>
              </w:rPr>
              <w:t>d)</w:t>
            </w:r>
            <w:r w:rsidRPr="00A92CED">
              <w:rPr>
                <w:rStyle w:val="fontstyle01"/>
                <w:rFonts w:ascii="Calibri" w:hAnsi="Calibri" w:cs="Calibri"/>
                <w:color w:val="auto"/>
                <w:sz w:val="22"/>
                <w:szCs w:val="22"/>
                <w:lang w:val="fr-CA"/>
              </w:rPr>
              <w:t xml:space="preserve"> </w:t>
            </w:r>
            <w:r w:rsidRPr="00A92CED">
              <w:rPr>
                <w:rStyle w:val="fontstyle21"/>
                <w:rFonts w:ascii="Calibri" w:hAnsi="Calibri" w:cs="Calibri"/>
                <w:color w:val="auto"/>
                <w:sz w:val="22"/>
                <w:szCs w:val="22"/>
                <w:lang w:val="fr-CA"/>
              </w:rPr>
              <w:t>les instructions concernant la manutention, le stockage, l</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utilisation et la destruction sécuritaires de l</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explosif, en français et en anglais.</w:t>
            </w:r>
          </w:p>
          <w:p w14:paraId="4DA455A1" w14:textId="77777777" w:rsidR="00FA05FB" w:rsidRPr="00A92CED" w:rsidRDefault="00FA05FB" w:rsidP="00AA3D54">
            <w:pPr>
              <w:rPr>
                <w:rStyle w:val="fontstyle01"/>
                <w:rFonts w:ascii="Calibri" w:hAnsi="Calibri" w:cs="Calibri"/>
                <w:color w:val="auto"/>
                <w:sz w:val="22"/>
                <w:szCs w:val="22"/>
                <w:lang w:val="fr-CA"/>
              </w:rPr>
            </w:pPr>
          </w:p>
          <w:p w14:paraId="35CDBC89" w14:textId="30C69EED" w:rsidR="00FA05FB" w:rsidRPr="00A92CED" w:rsidRDefault="00FA05FB" w:rsidP="00AA3D54">
            <w:pPr>
              <w:rPr>
                <w:rStyle w:val="fontstyle01"/>
                <w:rFonts w:ascii="Calibri" w:hAnsi="Calibri" w:cs="Calibri"/>
                <w:b w:val="0"/>
                <w:bCs w:val="0"/>
                <w:color w:val="auto"/>
                <w:sz w:val="22"/>
                <w:szCs w:val="22"/>
                <w:lang w:val="fr-CA"/>
              </w:rPr>
            </w:pPr>
            <w:r w:rsidRPr="00A92CED">
              <w:rPr>
                <w:rStyle w:val="fontstyle01"/>
                <w:rFonts w:ascii="Calibri" w:hAnsi="Calibri" w:cs="Calibri"/>
                <w:b w:val="0"/>
                <w:bCs w:val="0"/>
                <w:color w:val="auto"/>
                <w:sz w:val="22"/>
                <w:szCs w:val="22"/>
                <w:lang w:val="fr-CA"/>
              </w:rPr>
              <w:lastRenderedPageBreak/>
              <w:t>(2)</w:t>
            </w:r>
            <w:r w:rsidRPr="00A92CED">
              <w:rPr>
                <w:rStyle w:val="fontstyle01"/>
                <w:rFonts w:ascii="Calibri" w:hAnsi="Calibri" w:cs="Calibri"/>
                <w:color w:val="auto"/>
                <w:sz w:val="22"/>
                <w:szCs w:val="22"/>
                <w:lang w:val="fr-CA"/>
              </w:rPr>
              <w:t xml:space="preserve"> </w:t>
            </w:r>
            <w:r w:rsidRPr="00A92CED">
              <w:rPr>
                <w:rStyle w:val="fontstyle21"/>
                <w:rFonts w:ascii="Calibri" w:hAnsi="Calibri" w:cs="Calibri"/>
                <w:color w:val="auto"/>
                <w:sz w:val="22"/>
                <w:szCs w:val="22"/>
                <w:lang w:val="fr-CA"/>
              </w:rPr>
              <w:t>Les renseignements sont :</w:t>
            </w:r>
          </w:p>
          <w:p w14:paraId="47CC3D11" w14:textId="1C01D099" w:rsidR="00FA05FB" w:rsidRPr="00A92CED" w:rsidRDefault="00FA05FB" w:rsidP="00AA3D54">
            <w:pPr>
              <w:ind w:left="720"/>
              <w:rPr>
                <w:rStyle w:val="fontstyle21"/>
                <w:rFonts w:ascii="Calibri" w:hAnsi="Calibri" w:cs="Calibri"/>
                <w:color w:val="auto"/>
                <w:sz w:val="22"/>
                <w:szCs w:val="22"/>
                <w:lang w:val="fr-CA"/>
              </w:rPr>
            </w:pPr>
            <w:r w:rsidRPr="00A92CED">
              <w:rPr>
                <w:rStyle w:val="fontstyle01"/>
                <w:rFonts w:ascii="Calibri" w:hAnsi="Calibri" w:cs="Calibri"/>
                <w:b w:val="0"/>
                <w:bCs w:val="0"/>
                <w:color w:val="auto"/>
                <w:sz w:val="22"/>
                <w:szCs w:val="22"/>
                <w:lang w:val="fr-CA"/>
              </w:rPr>
              <w:t>a)</w:t>
            </w:r>
            <w:r w:rsidRPr="00A92CED">
              <w:rPr>
                <w:rStyle w:val="fontstyle01"/>
                <w:rFonts w:ascii="Calibri" w:hAnsi="Calibri" w:cs="Calibri"/>
                <w:color w:val="auto"/>
                <w:sz w:val="22"/>
                <w:szCs w:val="22"/>
                <w:lang w:val="fr-CA"/>
              </w:rPr>
              <w:t xml:space="preserve"> </w:t>
            </w:r>
            <w:r w:rsidRPr="00A92CED">
              <w:rPr>
                <w:rStyle w:val="fontstyle21"/>
                <w:rFonts w:ascii="Calibri" w:hAnsi="Calibri" w:cs="Calibri"/>
                <w:color w:val="auto"/>
                <w:sz w:val="22"/>
                <w:szCs w:val="22"/>
                <w:lang w:val="fr-CA"/>
              </w:rPr>
              <w:t>inscrits lisiblement sur chaque explosif;</w:t>
            </w:r>
            <w:r w:rsidRPr="00A92CED">
              <w:rPr>
                <w:rFonts w:ascii="Calibri" w:hAnsi="Calibri" w:cs="Calibri"/>
                <w:lang w:val="fr-CA"/>
              </w:rPr>
              <w:br/>
            </w:r>
            <w:r w:rsidRPr="00A92CED">
              <w:rPr>
                <w:rStyle w:val="fontstyle01"/>
                <w:rFonts w:ascii="Calibri" w:hAnsi="Calibri" w:cs="Calibri"/>
                <w:b w:val="0"/>
                <w:bCs w:val="0"/>
                <w:color w:val="auto"/>
                <w:sz w:val="22"/>
                <w:szCs w:val="22"/>
                <w:lang w:val="fr-CA"/>
              </w:rPr>
              <w:t>b)</w:t>
            </w:r>
            <w:r w:rsidRPr="00A92CED">
              <w:rPr>
                <w:rStyle w:val="fontstyle01"/>
                <w:rFonts w:ascii="Calibri" w:hAnsi="Calibri" w:cs="Calibri"/>
                <w:color w:val="auto"/>
                <w:sz w:val="22"/>
                <w:szCs w:val="22"/>
                <w:lang w:val="fr-CA"/>
              </w:rPr>
              <w:t xml:space="preserve"> </w:t>
            </w:r>
            <w:r w:rsidRPr="00A92CED">
              <w:rPr>
                <w:rStyle w:val="fontstyle21"/>
                <w:rFonts w:ascii="Calibri" w:hAnsi="Calibri" w:cs="Calibri"/>
                <w:color w:val="auto"/>
                <w:sz w:val="22"/>
                <w:szCs w:val="22"/>
                <w:lang w:val="fr-CA"/>
              </w:rPr>
              <w:t>inscrits lisiblement sur l</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étiquette apposée à l</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explosif, dans le cas où il n</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est pas possible de se conformer à l</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alinéa a);</w:t>
            </w:r>
            <w:r w:rsidRPr="00A92CED">
              <w:rPr>
                <w:rFonts w:ascii="Calibri" w:hAnsi="Calibri" w:cs="Calibri"/>
                <w:lang w:val="fr-CA"/>
              </w:rPr>
              <w:br/>
            </w:r>
            <w:r w:rsidRPr="00A92CED">
              <w:rPr>
                <w:rStyle w:val="fontstyle01"/>
                <w:rFonts w:ascii="Calibri" w:hAnsi="Calibri" w:cs="Calibri"/>
                <w:b w:val="0"/>
                <w:bCs w:val="0"/>
                <w:color w:val="auto"/>
                <w:sz w:val="22"/>
                <w:szCs w:val="22"/>
                <w:lang w:val="fr-CA"/>
              </w:rPr>
              <w:t>c)</w:t>
            </w:r>
            <w:r w:rsidRPr="00A92CED">
              <w:rPr>
                <w:rStyle w:val="fontstyle01"/>
                <w:rFonts w:ascii="Calibri" w:hAnsi="Calibri" w:cs="Calibri"/>
                <w:color w:val="auto"/>
                <w:sz w:val="22"/>
                <w:szCs w:val="22"/>
                <w:lang w:val="fr-CA"/>
              </w:rPr>
              <w:t xml:space="preserve"> </w:t>
            </w:r>
            <w:r w:rsidRPr="00A92CED">
              <w:rPr>
                <w:rStyle w:val="fontstyle21"/>
                <w:rFonts w:ascii="Calibri" w:hAnsi="Calibri" w:cs="Calibri"/>
                <w:color w:val="auto"/>
                <w:sz w:val="22"/>
                <w:szCs w:val="22"/>
                <w:lang w:val="fr-CA"/>
              </w:rPr>
              <w:t>contenus dans un code à barre ou un code matriciel qui est imprimé sur l</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explosif ou sur l</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étiquette apposée à celui-ci et qui peut être lu par un dispositif accessible au grand public (par exemple, un téléphone intelligent), dans le cas où il n</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est pas possible de se conformer aux alinéas a) et b);</w:t>
            </w:r>
            <w:r w:rsidRPr="00A92CED">
              <w:rPr>
                <w:rFonts w:ascii="Calibri" w:hAnsi="Calibri" w:cs="Calibri"/>
                <w:lang w:val="fr-CA"/>
              </w:rPr>
              <w:br/>
            </w:r>
            <w:r w:rsidRPr="00A92CED">
              <w:rPr>
                <w:rStyle w:val="fontstyle01"/>
                <w:rFonts w:ascii="Calibri" w:hAnsi="Calibri" w:cs="Calibri"/>
                <w:b w:val="0"/>
                <w:bCs w:val="0"/>
                <w:color w:val="auto"/>
                <w:sz w:val="22"/>
                <w:szCs w:val="22"/>
                <w:lang w:val="fr-CA"/>
              </w:rPr>
              <w:t xml:space="preserve">d) </w:t>
            </w:r>
            <w:r w:rsidRPr="00A92CED">
              <w:rPr>
                <w:rStyle w:val="fontstyle21"/>
                <w:rFonts w:ascii="Calibri" w:hAnsi="Calibri" w:cs="Calibri"/>
                <w:color w:val="auto"/>
                <w:sz w:val="22"/>
                <w:szCs w:val="22"/>
                <w:lang w:val="fr-CA"/>
              </w:rPr>
              <w:t>inscrits lisiblement sur l</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emballage de l</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explosif ou sur l</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étiquette apposée à celui-ci, dans le cas où il n</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est pas possible de se conformer aux alinéas a) à c).</w:t>
            </w:r>
          </w:p>
          <w:p w14:paraId="65E90A35" w14:textId="77777777" w:rsidR="00FA05FB" w:rsidRPr="00A92CED" w:rsidRDefault="00FA05FB" w:rsidP="00AA3D54">
            <w:pPr>
              <w:rPr>
                <w:rStyle w:val="fontstyle01"/>
                <w:rFonts w:ascii="Calibri" w:hAnsi="Calibri" w:cs="Calibri"/>
                <w:color w:val="auto"/>
                <w:sz w:val="22"/>
                <w:szCs w:val="22"/>
                <w:lang w:val="fr-CA"/>
              </w:rPr>
            </w:pPr>
          </w:p>
          <w:p w14:paraId="34B67467" w14:textId="573B92A0" w:rsidR="00FA05FB" w:rsidRPr="00A92CED" w:rsidRDefault="00FA05FB" w:rsidP="00AA3D54">
            <w:pPr>
              <w:rPr>
                <w:rStyle w:val="fontstyle01"/>
                <w:rFonts w:ascii="Calibri" w:hAnsi="Calibri" w:cs="Calibri"/>
                <w:b w:val="0"/>
                <w:bCs w:val="0"/>
                <w:color w:val="auto"/>
                <w:sz w:val="22"/>
                <w:szCs w:val="22"/>
                <w:lang w:val="fr-CA"/>
              </w:rPr>
            </w:pPr>
            <w:r w:rsidRPr="00A92CED">
              <w:rPr>
                <w:rStyle w:val="fontstyle01"/>
                <w:rFonts w:ascii="Calibri" w:hAnsi="Calibri" w:cs="Calibri"/>
                <w:b w:val="0"/>
                <w:bCs w:val="0"/>
                <w:color w:val="auto"/>
                <w:sz w:val="22"/>
                <w:szCs w:val="22"/>
                <w:lang w:val="fr-CA"/>
              </w:rPr>
              <w:t>(3)</w:t>
            </w:r>
            <w:r w:rsidRPr="00A92CED">
              <w:rPr>
                <w:rStyle w:val="fontstyle01"/>
                <w:rFonts w:ascii="Calibri" w:hAnsi="Calibri" w:cs="Calibri"/>
                <w:color w:val="auto"/>
                <w:sz w:val="22"/>
                <w:szCs w:val="22"/>
                <w:lang w:val="fr-CA"/>
              </w:rPr>
              <w:t xml:space="preserve"> </w:t>
            </w:r>
            <w:r w:rsidRPr="00A92CED">
              <w:rPr>
                <w:rStyle w:val="fontstyle21"/>
                <w:rFonts w:ascii="Calibri" w:hAnsi="Calibri" w:cs="Calibri"/>
                <w:color w:val="auto"/>
                <w:sz w:val="22"/>
                <w:szCs w:val="22"/>
                <w:lang w:val="fr-CA"/>
              </w:rPr>
              <w:t>Les renseignements ci-après sont inscrits lisiblement sur l</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emballage de l</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explosif ou sur l</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étiquette apposée à celui-ci :</w:t>
            </w:r>
          </w:p>
          <w:p w14:paraId="6658DB52" w14:textId="10226DDE" w:rsidR="00FA05FB" w:rsidRPr="00A92CED" w:rsidRDefault="00FA05FB" w:rsidP="000E3D4C">
            <w:pPr>
              <w:ind w:left="720"/>
              <w:rPr>
                <w:rFonts w:ascii="Calibri" w:hAnsi="Calibri" w:cs="Calibri"/>
                <w:lang w:val="fr-CA"/>
              </w:rPr>
            </w:pPr>
            <w:r w:rsidRPr="00A92CED">
              <w:rPr>
                <w:rStyle w:val="fontstyle01"/>
                <w:rFonts w:ascii="Calibri" w:hAnsi="Calibri" w:cs="Calibri"/>
                <w:b w:val="0"/>
                <w:bCs w:val="0"/>
                <w:color w:val="auto"/>
                <w:sz w:val="22"/>
                <w:szCs w:val="22"/>
                <w:lang w:val="fr-CA"/>
              </w:rPr>
              <w:t xml:space="preserve">a) </w:t>
            </w:r>
            <w:r w:rsidRPr="00A92CED">
              <w:rPr>
                <w:rStyle w:val="fontstyle21"/>
                <w:rFonts w:ascii="Calibri" w:hAnsi="Calibri" w:cs="Calibri"/>
                <w:color w:val="auto"/>
                <w:sz w:val="22"/>
                <w:szCs w:val="22"/>
                <w:lang w:val="fr-CA"/>
              </w:rPr>
              <w:t xml:space="preserve">les mots « Munitions/ Ammunition », « Explosifs/ Explosives », « Pièces </w:t>
            </w:r>
            <w:r w:rsidRPr="00A92CED">
              <w:rPr>
                <w:rStyle w:val="fontstyle21"/>
                <w:rFonts w:ascii="Calibri" w:hAnsi="Calibri" w:cs="Calibri"/>
                <w:color w:val="auto"/>
                <w:sz w:val="22"/>
                <w:szCs w:val="22"/>
                <w:lang w:val="fr-CA"/>
              </w:rPr>
              <w:lastRenderedPageBreak/>
              <w:t>pyrotechniques/Fireworks »,</w:t>
            </w:r>
            <w:r w:rsidRPr="00A92CED">
              <w:rPr>
                <w:rFonts w:ascii="Calibri" w:hAnsi="Calibri" w:cs="Calibri"/>
                <w:lang w:val="fr-CA"/>
              </w:rPr>
              <w:br/>
            </w:r>
            <w:r w:rsidRPr="00A92CED">
              <w:rPr>
                <w:rStyle w:val="fontstyle21"/>
                <w:rFonts w:ascii="Calibri" w:hAnsi="Calibri" w:cs="Calibri"/>
                <w:color w:val="auto"/>
                <w:sz w:val="22"/>
                <w:szCs w:val="22"/>
                <w:lang w:val="fr-CA"/>
              </w:rPr>
              <w:t xml:space="preserve">« Pièces pyrotechniques/ Pyrotechnics » ou « Moteurs </w:t>
            </w:r>
            <w:r w:rsidRPr="00A92CED">
              <w:rPr>
                <w:rFonts w:ascii="Calibri" w:hAnsi="Calibri" w:cs="Calibri"/>
                <w:lang w:val="fr-CA"/>
              </w:rPr>
              <w:t>de fusée/Rocket Motors », selon le cas, sur l</w:t>
            </w:r>
            <w:r w:rsidR="0030467D" w:rsidRPr="00A92CED">
              <w:rPr>
                <w:rFonts w:ascii="Calibri" w:hAnsi="Calibri" w:cs="Calibri"/>
                <w:lang w:val="fr-CA"/>
              </w:rPr>
              <w:t>’</w:t>
            </w:r>
            <w:r w:rsidRPr="00A92CED">
              <w:rPr>
                <w:rFonts w:ascii="Calibri" w:hAnsi="Calibri" w:cs="Calibri"/>
                <w:lang w:val="fr-CA"/>
              </w:rPr>
              <w:t>emballage extérieur et sur tout emballage intérieur;</w:t>
            </w:r>
            <w:r w:rsidRPr="00A92CED">
              <w:rPr>
                <w:rFonts w:ascii="Calibri" w:hAnsi="Calibri" w:cs="Calibri"/>
                <w:lang w:val="fr-CA"/>
              </w:rPr>
              <w:br/>
              <w:t>b)</w:t>
            </w:r>
            <w:r w:rsidRPr="00A92CED">
              <w:rPr>
                <w:rFonts w:ascii="Calibri" w:hAnsi="Calibri" w:cs="Calibri"/>
                <w:b/>
                <w:bCs/>
                <w:lang w:val="fr-CA"/>
              </w:rPr>
              <w:t xml:space="preserve"> </w:t>
            </w:r>
            <w:r w:rsidRPr="00A92CED">
              <w:rPr>
                <w:rFonts w:ascii="Calibri" w:hAnsi="Calibri" w:cs="Calibri"/>
                <w:lang w:val="fr-CA"/>
              </w:rPr>
              <w:t>le nom de produit de l</w:t>
            </w:r>
            <w:r w:rsidR="0030467D" w:rsidRPr="00A92CED">
              <w:rPr>
                <w:rFonts w:ascii="Calibri" w:hAnsi="Calibri" w:cs="Calibri"/>
                <w:lang w:val="fr-CA"/>
              </w:rPr>
              <w:t>’</w:t>
            </w:r>
            <w:r w:rsidRPr="00A92CED">
              <w:rPr>
                <w:rFonts w:ascii="Calibri" w:hAnsi="Calibri" w:cs="Calibri"/>
                <w:lang w:val="fr-CA"/>
              </w:rPr>
              <w:t>explosif, ainsi que les nom et adresse du titulaire de l</w:t>
            </w:r>
            <w:r w:rsidR="0030467D" w:rsidRPr="00A92CED">
              <w:rPr>
                <w:rFonts w:ascii="Calibri" w:hAnsi="Calibri" w:cs="Calibri"/>
                <w:lang w:val="fr-CA"/>
              </w:rPr>
              <w:t>’</w:t>
            </w:r>
            <w:r w:rsidRPr="00A92CED">
              <w:rPr>
                <w:rFonts w:ascii="Calibri" w:hAnsi="Calibri" w:cs="Calibri"/>
                <w:lang w:val="fr-CA"/>
              </w:rPr>
              <w:t>autorisation de celui-ci, sur l</w:t>
            </w:r>
            <w:r w:rsidR="0030467D" w:rsidRPr="00A92CED">
              <w:rPr>
                <w:rFonts w:ascii="Calibri" w:hAnsi="Calibri" w:cs="Calibri"/>
                <w:lang w:val="fr-CA"/>
              </w:rPr>
              <w:t>’</w:t>
            </w:r>
            <w:r w:rsidRPr="00A92CED">
              <w:rPr>
                <w:rFonts w:ascii="Calibri" w:hAnsi="Calibri" w:cs="Calibri"/>
                <w:lang w:val="fr-CA"/>
              </w:rPr>
              <w:t>emballage extérieur;</w:t>
            </w:r>
            <w:r w:rsidRPr="00A92CED">
              <w:rPr>
                <w:rFonts w:ascii="Calibri" w:hAnsi="Calibri" w:cs="Calibri"/>
                <w:lang w:val="fr-CA"/>
              </w:rPr>
              <w:br/>
              <w:t>c)</w:t>
            </w:r>
            <w:r w:rsidRPr="00A92CED">
              <w:rPr>
                <w:rFonts w:ascii="Calibri" w:hAnsi="Calibri" w:cs="Calibri"/>
                <w:b/>
                <w:bCs/>
                <w:lang w:val="fr-CA"/>
              </w:rPr>
              <w:t xml:space="preserve"> </w:t>
            </w:r>
            <w:r w:rsidRPr="00A92CED">
              <w:rPr>
                <w:rFonts w:ascii="Calibri" w:hAnsi="Calibri" w:cs="Calibri"/>
                <w:lang w:val="fr-CA"/>
              </w:rPr>
              <w:t>dans le cas d</w:t>
            </w:r>
            <w:r w:rsidR="0030467D" w:rsidRPr="00A92CED">
              <w:rPr>
                <w:rFonts w:ascii="Calibri" w:hAnsi="Calibri" w:cs="Calibri"/>
                <w:lang w:val="fr-CA"/>
              </w:rPr>
              <w:t>’</w:t>
            </w:r>
            <w:r w:rsidRPr="00A92CED">
              <w:rPr>
                <w:rFonts w:ascii="Calibri" w:hAnsi="Calibri" w:cs="Calibri"/>
                <w:lang w:val="fr-CA"/>
              </w:rPr>
              <w:t>un explosif de type F, le fait qu</w:t>
            </w:r>
            <w:r w:rsidR="0030467D" w:rsidRPr="00A92CED">
              <w:rPr>
                <w:rFonts w:ascii="Calibri" w:hAnsi="Calibri" w:cs="Calibri"/>
                <w:lang w:val="fr-CA"/>
              </w:rPr>
              <w:t>’</w:t>
            </w:r>
            <w:r w:rsidRPr="00A92CED">
              <w:rPr>
                <w:rFonts w:ascii="Calibri" w:hAnsi="Calibri" w:cs="Calibri"/>
                <w:lang w:val="fr-CA"/>
              </w:rPr>
              <w:t>il s</w:t>
            </w:r>
            <w:r w:rsidR="0030467D" w:rsidRPr="00A92CED">
              <w:rPr>
                <w:rFonts w:ascii="Calibri" w:hAnsi="Calibri" w:cs="Calibri"/>
                <w:lang w:val="fr-CA"/>
              </w:rPr>
              <w:t>’</w:t>
            </w:r>
            <w:r w:rsidRPr="00A92CED">
              <w:rPr>
                <w:rFonts w:ascii="Calibri" w:hAnsi="Calibri" w:cs="Calibri"/>
                <w:lang w:val="fr-CA"/>
              </w:rPr>
              <w:t>agit d</w:t>
            </w:r>
            <w:r w:rsidR="0030467D" w:rsidRPr="00A92CED">
              <w:rPr>
                <w:rFonts w:ascii="Calibri" w:hAnsi="Calibri" w:cs="Calibri"/>
                <w:lang w:val="fr-CA"/>
              </w:rPr>
              <w:t>’</w:t>
            </w:r>
            <w:r w:rsidRPr="00A92CED">
              <w:rPr>
                <w:rFonts w:ascii="Calibri" w:hAnsi="Calibri" w:cs="Calibri"/>
                <w:lang w:val="fr-CA"/>
              </w:rPr>
              <w:t>un explosif de type F.1, F.2, F.3 ou F.4, sur l</w:t>
            </w:r>
            <w:r w:rsidR="0030467D" w:rsidRPr="00A92CED">
              <w:rPr>
                <w:rFonts w:ascii="Calibri" w:hAnsi="Calibri" w:cs="Calibri"/>
                <w:lang w:val="fr-CA"/>
              </w:rPr>
              <w:t>’</w:t>
            </w:r>
            <w:r w:rsidRPr="00A92CED">
              <w:rPr>
                <w:rFonts w:ascii="Calibri" w:hAnsi="Calibri" w:cs="Calibri"/>
                <w:lang w:val="fr-CA"/>
              </w:rPr>
              <w:t>emballage extérieur;</w:t>
            </w:r>
            <w:r w:rsidRPr="00A92CED">
              <w:rPr>
                <w:rFonts w:ascii="Calibri" w:hAnsi="Calibri" w:cs="Calibri"/>
                <w:lang w:val="fr-CA"/>
              </w:rPr>
              <w:br/>
              <w:t>d)</w:t>
            </w:r>
            <w:r w:rsidRPr="00A92CED">
              <w:rPr>
                <w:rFonts w:ascii="Calibri" w:hAnsi="Calibri" w:cs="Calibri"/>
                <w:b/>
                <w:bCs/>
                <w:lang w:val="fr-CA"/>
              </w:rPr>
              <w:t xml:space="preserve"> </w:t>
            </w:r>
            <w:r w:rsidRPr="00A92CED">
              <w:rPr>
                <w:rFonts w:ascii="Calibri" w:hAnsi="Calibri" w:cs="Calibri"/>
                <w:lang w:val="fr-CA"/>
              </w:rPr>
              <w:t>dans le cas d</w:t>
            </w:r>
            <w:r w:rsidR="0030467D" w:rsidRPr="00A92CED">
              <w:rPr>
                <w:rFonts w:ascii="Calibri" w:hAnsi="Calibri" w:cs="Calibri"/>
                <w:lang w:val="fr-CA"/>
              </w:rPr>
              <w:t>’</w:t>
            </w:r>
            <w:r w:rsidRPr="00A92CED">
              <w:rPr>
                <w:rFonts w:ascii="Calibri" w:hAnsi="Calibri" w:cs="Calibri"/>
                <w:lang w:val="fr-CA"/>
              </w:rPr>
              <w:t>un explosif de type S, le fait qu</w:t>
            </w:r>
            <w:r w:rsidR="0030467D" w:rsidRPr="00A92CED">
              <w:rPr>
                <w:rFonts w:ascii="Calibri" w:hAnsi="Calibri" w:cs="Calibri"/>
                <w:lang w:val="fr-CA"/>
              </w:rPr>
              <w:t>’</w:t>
            </w:r>
            <w:r w:rsidRPr="00A92CED">
              <w:rPr>
                <w:rFonts w:ascii="Calibri" w:hAnsi="Calibri" w:cs="Calibri"/>
                <w:lang w:val="fr-CA"/>
              </w:rPr>
              <w:t>il s</w:t>
            </w:r>
            <w:r w:rsidR="0030467D" w:rsidRPr="00A92CED">
              <w:rPr>
                <w:rFonts w:ascii="Calibri" w:hAnsi="Calibri" w:cs="Calibri"/>
                <w:lang w:val="fr-CA"/>
              </w:rPr>
              <w:t>’</w:t>
            </w:r>
            <w:r w:rsidRPr="00A92CED">
              <w:rPr>
                <w:rFonts w:ascii="Calibri" w:hAnsi="Calibri" w:cs="Calibri"/>
                <w:lang w:val="fr-CA"/>
              </w:rPr>
              <w:t>agit d</w:t>
            </w:r>
            <w:r w:rsidR="0030467D" w:rsidRPr="00A92CED">
              <w:rPr>
                <w:rFonts w:ascii="Calibri" w:hAnsi="Calibri" w:cs="Calibri"/>
                <w:lang w:val="fr-CA"/>
              </w:rPr>
              <w:t>’</w:t>
            </w:r>
            <w:r w:rsidRPr="00A92CED">
              <w:rPr>
                <w:rFonts w:ascii="Calibri" w:hAnsi="Calibri" w:cs="Calibri"/>
                <w:lang w:val="fr-CA"/>
              </w:rPr>
              <w:t>un explosif de type S.1 ou S.2, sur l</w:t>
            </w:r>
            <w:r w:rsidR="0030467D" w:rsidRPr="00A92CED">
              <w:rPr>
                <w:rFonts w:ascii="Calibri" w:hAnsi="Calibri" w:cs="Calibri"/>
                <w:lang w:val="fr-CA"/>
              </w:rPr>
              <w:t>’</w:t>
            </w:r>
            <w:r w:rsidRPr="00A92CED">
              <w:rPr>
                <w:rFonts w:ascii="Calibri" w:hAnsi="Calibri" w:cs="Calibri"/>
                <w:lang w:val="fr-CA"/>
              </w:rPr>
              <w:t>emballage extérieur.</w:t>
            </w:r>
          </w:p>
          <w:p w14:paraId="0D69686F" w14:textId="77777777" w:rsidR="00FA05FB" w:rsidRPr="00A92CED" w:rsidRDefault="00FA05FB" w:rsidP="000E3D4C">
            <w:pPr>
              <w:rPr>
                <w:rStyle w:val="fontstyle01"/>
                <w:rFonts w:ascii="Calibri" w:hAnsi="Calibri" w:cs="Calibri"/>
                <w:color w:val="auto"/>
                <w:sz w:val="22"/>
                <w:szCs w:val="22"/>
                <w:lang w:val="fr-CA"/>
              </w:rPr>
            </w:pPr>
          </w:p>
          <w:p w14:paraId="2D90FD9C" w14:textId="35AAEF15" w:rsidR="00FA05FB" w:rsidRPr="00A92CED" w:rsidRDefault="00FA05FB" w:rsidP="000E3D4C">
            <w:pPr>
              <w:rPr>
                <w:rStyle w:val="fontstyle01"/>
                <w:rFonts w:ascii="Calibri" w:hAnsi="Calibri" w:cs="Calibri"/>
                <w:color w:val="auto"/>
                <w:sz w:val="22"/>
                <w:szCs w:val="22"/>
                <w:lang w:val="fr-CA"/>
              </w:rPr>
            </w:pPr>
            <w:r w:rsidRPr="00A92CED">
              <w:rPr>
                <w:rFonts w:ascii="Calibri" w:hAnsi="Calibri" w:cs="Calibri"/>
                <w:lang w:val="fr-CA"/>
              </w:rPr>
              <w:t>(4)</w:t>
            </w:r>
            <w:r w:rsidRPr="00A92CED">
              <w:rPr>
                <w:rFonts w:ascii="Calibri" w:hAnsi="Calibri" w:cs="Calibri"/>
                <w:b/>
                <w:bCs/>
                <w:lang w:val="fr-CA"/>
              </w:rPr>
              <w:t xml:space="preserve"> </w:t>
            </w:r>
            <w:r w:rsidRPr="00A92CED">
              <w:rPr>
                <w:rFonts w:ascii="Calibri" w:hAnsi="Calibri" w:cs="Calibri"/>
                <w:lang w:val="fr-CA"/>
              </w:rPr>
              <w:t>Le numéro de licence de fabrique de la section 1 du fabricant est inscrit, de manière lisible et indélébile, sur l</w:t>
            </w:r>
            <w:r w:rsidR="0030467D" w:rsidRPr="00A92CED">
              <w:rPr>
                <w:rFonts w:ascii="Calibri" w:hAnsi="Calibri" w:cs="Calibri"/>
                <w:lang w:val="fr-CA"/>
              </w:rPr>
              <w:t>’</w:t>
            </w:r>
            <w:r w:rsidRPr="00A92CED">
              <w:rPr>
                <w:rFonts w:ascii="Calibri" w:hAnsi="Calibri" w:cs="Calibri"/>
                <w:lang w:val="fr-CA"/>
              </w:rPr>
              <w:t>emballage extérieur de tout *explosif industriel.</w:t>
            </w:r>
          </w:p>
        </w:tc>
        <w:tc>
          <w:tcPr>
            <w:tcW w:w="4076" w:type="dxa"/>
          </w:tcPr>
          <w:p w14:paraId="2E5E2396" w14:textId="450A0409" w:rsidR="00FA05FB" w:rsidRPr="00A92CED" w:rsidRDefault="00F76BA0" w:rsidP="00817532">
            <w:pPr>
              <w:rPr>
                <w:lang w:val="fr-CA"/>
              </w:rPr>
            </w:pPr>
            <w:r w:rsidRPr="00A92CED">
              <w:rPr>
                <w:bCs/>
                <w:lang w:val="fr-CA"/>
              </w:rPr>
              <w:lastRenderedPageBreak/>
              <w:t>Modifier l</w:t>
            </w:r>
            <w:r w:rsidR="0030467D" w:rsidRPr="00A92CED">
              <w:rPr>
                <w:bCs/>
                <w:lang w:val="fr-CA"/>
              </w:rPr>
              <w:t>’</w:t>
            </w:r>
            <w:r w:rsidRPr="00A92CED">
              <w:rPr>
                <w:bCs/>
                <w:lang w:val="fr-CA"/>
              </w:rPr>
              <w:t>article 74 pour ajouter une exigence stipulant que chaque explosif détérioré, périmé ou ayant eu des ratés doit porter clairement l</w:t>
            </w:r>
            <w:r w:rsidR="0030467D" w:rsidRPr="00A92CED">
              <w:rPr>
                <w:bCs/>
                <w:lang w:val="fr-CA"/>
              </w:rPr>
              <w:t>’</w:t>
            </w:r>
            <w:r w:rsidRPr="00A92CED">
              <w:rPr>
                <w:bCs/>
                <w:lang w:val="fr-CA"/>
              </w:rPr>
              <w:t xml:space="preserve">inscription </w:t>
            </w:r>
            <w:r w:rsidRPr="00A92CED">
              <w:rPr>
                <w:rFonts w:cstheme="minorHAnsi"/>
                <w:bCs/>
                <w:lang w:val="fr-CA"/>
              </w:rPr>
              <w:t>« </w:t>
            </w:r>
            <w:r w:rsidRPr="00A92CED">
              <w:rPr>
                <w:lang w:val="fr-CA"/>
              </w:rPr>
              <w:t>Détérioré/Deteriorated </w:t>
            </w:r>
            <w:r w:rsidRPr="00A92CED">
              <w:rPr>
                <w:rFonts w:cstheme="minorHAnsi"/>
                <w:lang w:val="fr-CA"/>
              </w:rPr>
              <w:t>», « Périmé/Expired » ou « Raté/Misfired », selon le cas.</w:t>
            </w:r>
          </w:p>
        </w:tc>
        <w:tc>
          <w:tcPr>
            <w:tcW w:w="3143" w:type="dxa"/>
            <w:gridSpan w:val="2"/>
          </w:tcPr>
          <w:p w14:paraId="6C880A21" w14:textId="1569C944" w:rsidR="00FA05FB" w:rsidRPr="00A92CED" w:rsidRDefault="00F76BA0" w:rsidP="00817532">
            <w:pPr>
              <w:rPr>
                <w:b/>
                <w:lang w:val="fr-CA"/>
              </w:rPr>
            </w:pPr>
            <w:r w:rsidRPr="00A92CED">
              <w:rPr>
                <w:lang w:val="fr-CA"/>
              </w:rPr>
              <w:t>Cet amendement proposé vise à s</w:t>
            </w:r>
            <w:r w:rsidR="0030467D" w:rsidRPr="00A92CED">
              <w:rPr>
                <w:lang w:val="fr-CA"/>
              </w:rPr>
              <w:t>’</w:t>
            </w:r>
            <w:r w:rsidRPr="00A92CED">
              <w:rPr>
                <w:lang w:val="fr-CA"/>
              </w:rPr>
              <w:t>assurer que les exigences relatives à l</w:t>
            </w:r>
            <w:r w:rsidR="0030467D" w:rsidRPr="00A92CED">
              <w:rPr>
                <w:lang w:val="fr-CA"/>
              </w:rPr>
              <w:t>’</w:t>
            </w:r>
            <w:r w:rsidRPr="00A92CED">
              <w:rPr>
                <w:lang w:val="fr-CA"/>
              </w:rPr>
              <w:t xml:space="preserve">inscription que doivent porter les explosifs détériorés, périmés ou ayant eu des ratés soient uniformes dans les parties 5 et 6 du Règlement. Cet amendement </w:t>
            </w:r>
            <w:r w:rsidR="005459C7" w:rsidRPr="00A92CED">
              <w:rPr>
                <w:lang w:val="fr-CA"/>
              </w:rPr>
              <w:t>qu</w:t>
            </w:r>
            <w:r w:rsidR="0030467D" w:rsidRPr="00A92CED">
              <w:rPr>
                <w:lang w:val="fr-CA"/>
              </w:rPr>
              <w:t>’</w:t>
            </w:r>
            <w:r w:rsidR="005459C7" w:rsidRPr="00A92CED">
              <w:rPr>
                <w:lang w:val="fr-CA"/>
              </w:rPr>
              <w:t>il est proposé d</w:t>
            </w:r>
            <w:r w:rsidR="0030467D" w:rsidRPr="00A92CED">
              <w:rPr>
                <w:lang w:val="fr-CA"/>
              </w:rPr>
              <w:t>’</w:t>
            </w:r>
            <w:r w:rsidR="005459C7" w:rsidRPr="00A92CED">
              <w:rPr>
                <w:lang w:val="fr-CA"/>
              </w:rPr>
              <w:t>apporter à l</w:t>
            </w:r>
            <w:r w:rsidR="0030467D" w:rsidRPr="00A92CED">
              <w:rPr>
                <w:lang w:val="fr-CA"/>
              </w:rPr>
              <w:t>’</w:t>
            </w:r>
            <w:r w:rsidR="005459C7" w:rsidRPr="00A92CED">
              <w:rPr>
                <w:lang w:val="fr-CA"/>
              </w:rPr>
              <w:t>article 74 se fonde sur le libellé du paragraphe 160(2) de la partie 6 du Règlement.</w:t>
            </w:r>
          </w:p>
        </w:tc>
        <w:tc>
          <w:tcPr>
            <w:tcW w:w="3087" w:type="dxa"/>
          </w:tcPr>
          <w:p w14:paraId="5683EC1B" w14:textId="77777777" w:rsidR="00FA05FB" w:rsidRPr="00A92CED" w:rsidRDefault="00FA05FB" w:rsidP="00817532">
            <w:pPr>
              <w:rPr>
                <w:b/>
                <w:lang w:val="fr-CA"/>
              </w:rPr>
            </w:pPr>
          </w:p>
        </w:tc>
      </w:tr>
      <w:tr w:rsidR="00A92CED" w:rsidRPr="00A92CED" w14:paraId="53896857" w14:textId="1C5A8D28" w:rsidTr="00E10233">
        <w:tc>
          <w:tcPr>
            <w:tcW w:w="3126" w:type="dxa"/>
          </w:tcPr>
          <w:p w14:paraId="0308755D" w14:textId="77777777" w:rsidR="00FA05FB" w:rsidRPr="00A92CED" w:rsidRDefault="00FA05FB">
            <w:pPr>
              <w:pStyle w:val="ListParagraph"/>
              <w:numPr>
                <w:ilvl w:val="0"/>
                <w:numId w:val="1"/>
              </w:numPr>
              <w:jc w:val="center"/>
              <w:rPr>
                <w:lang w:val="fr-CA"/>
              </w:rPr>
            </w:pPr>
          </w:p>
        </w:tc>
        <w:tc>
          <w:tcPr>
            <w:tcW w:w="3715" w:type="dxa"/>
          </w:tcPr>
          <w:p w14:paraId="768B1B1E" w14:textId="68EC9340" w:rsidR="00FA05FB" w:rsidRPr="00A92CED" w:rsidRDefault="00FA05FB" w:rsidP="00817532">
            <w:pPr>
              <w:rPr>
                <w:rStyle w:val="fontstyle01"/>
                <w:rFonts w:ascii="Calibri" w:hAnsi="Calibri" w:cs="Calibri"/>
                <w:color w:val="auto"/>
                <w:sz w:val="22"/>
                <w:szCs w:val="22"/>
                <w:lang w:val="fr-CA"/>
              </w:rPr>
            </w:pPr>
            <w:r w:rsidRPr="00A92CED">
              <w:rPr>
                <w:rFonts w:ascii="Calibri" w:hAnsi="Calibri" w:cs="Calibri"/>
                <w:b/>
                <w:bCs/>
                <w:lang w:val="fr-CA"/>
              </w:rPr>
              <w:t xml:space="preserve">82 </w:t>
            </w:r>
            <w:r w:rsidRPr="00A92CED">
              <w:rPr>
                <w:rFonts w:ascii="Calibri" w:hAnsi="Calibri" w:cs="Calibri"/>
                <w:lang w:val="fr-CA"/>
              </w:rPr>
              <w:t>(1) Chaque employé à la fabrique ou à un site satellite reçoit une formation par une personne compétente sur la façon d</w:t>
            </w:r>
            <w:r w:rsidR="0030467D" w:rsidRPr="00A92CED">
              <w:rPr>
                <w:rFonts w:ascii="Calibri" w:hAnsi="Calibri" w:cs="Calibri"/>
                <w:lang w:val="fr-CA"/>
              </w:rPr>
              <w:t>’</w:t>
            </w:r>
            <w:r w:rsidRPr="00A92CED">
              <w:rPr>
                <w:rFonts w:ascii="Calibri" w:hAnsi="Calibri" w:cs="Calibri"/>
                <w:lang w:val="fr-CA"/>
              </w:rPr>
              <w:t>exercer ses fonctions en toute sécurité et légalité.</w:t>
            </w:r>
          </w:p>
        </w:tc>
        <w:tc>
          <w:tcPr>
            <w:tcW w:w="4076" w:type="dxa"/>
          </w:tcPr>
          <w:p w14:paraId="519C3FCB" w14:textId="29AC9A52" w:rsidR="00FA05FB" w:rsidRPr="00A92CED" w:rsidRDefault="005459C7" w:rsidP="00817532">
            <w:pPr>
              <w:rPr>
                <w:lang w:val="fr-CA"/>
              </w:rPr>
            </w:pPr>
            <w:r w:rsidRPr="00A92CED">
              <w:rPr>
                <w:rFonts w:ascii="Calibri" w:hAnsi="Calibri" w:cs="Calibri"/>
                <w:lang w:val="fr-CA"/>
              </w:rPr>
              <w:t>Modifier le paragraphe 82(1) pour remplacer «</w:t>
            </w:r>
            <w:r w:rsidR="00770BD3" w:rsidRPr="00A92CED">
              <w:rPr>
                <w:rFonts w:ascii="Calibri" w:hAnsi="Calibri" w:cs="Calibri"/>
                <w:lang w:val="fr-CA"/>
              </w:rPr>
              <w:t> personne compétente </w:t>
            </w:r>
            <w:r w:rsidRPr="00A92CED">
              <w:rPr>
                <w:rFonts w:ascii="Calibri" w:hAnsi="Calibri" w:cs="Calibri"/>
                <w:lang w:val="fr-CA"/>
              </w:rPr>
              <w:t>»</w:t>
            </w:r>
            <w:r w:rsidR="00770BD3" w:rsidRPr="00A92CED">
              <w:rPr>
                <w:rFonts w:ascii="Calibri" w:hAnsi="Calibri" w:cs="Calibri"/>
                <w:lang w:val="fr-CA"/>
              </w:rPr>
              <w:t xml:space="preserve"> par </w:t>
            </w:r>
            <w:r w:rsidRPr="00A92CED">
              <w:rPr>
                <w:rFonts w:ascii="Calibri" w:hAnsi="Calibri" w:cs="Calibri"/>
                <w:lang w:val="fr-CA"/>
              </w:rPr>
              <w:t>«</w:t>
            </w:r>
            <w:r w:rsidR="00770BD3" w:rsidRPr="00A92CED">
              <w:rPr>
                <w:rFonts w:ascii="Calibri" w:hAnsi="Calibri" w:cs="Calibri"/>
                <w:lang w:val="fr-CA"/>
              </w:rPr>
              <w:t> personne que le titulaire de licence juge compétente </w:t>
            </w:r>
            <w:r w:rsidRPr="00A92CED">
              <w:rPr>
                <w:rFonts w:ascii="Calibri" w:hAnsi="Calibri" w:cs="Calibri"/>
                <w:lang w:val="fr-CA"/>
              </w:rPr>
              <w:t>»</w:t>
            </w:r>
            <w:r w:rsidR="00770BD3" w:rsidRPr="00A92CED">
              <w:rPr>
                <w:rFonts w:ascii="Calibri" w:hAnsi="Calibri" w:cs="Calibri"/>
                <w:lang w:val="fr-CA"/>
              </w:rPr>
              <w:t>.</w:t>
            </w:r>
          </w:p>
        </w:tc>
        <w:tc>
          <w:tcPr>
            <w:tcW w:w="3143" w:type="dxa"/>
            <w:gridSpan w:val="2"/>
          </w:tcPr>
          <w:p w14:paraId="72481CE5" w14:textId="0348A239" w:rsidR="00FA05FB" w:rsidRPr="00A92CED" w:rsidRDefault="00770BD3" w:rsidP="00817532">
            <w:pPr>
              <w:rPr>
                <w:lang w:val="fr-CA"/>
              </w:rPr>
            </w:pPr>
            <w:r w:rsidRPr="00A92CED">
              <w:rPr>
                <w:lang w:val="fr-CA"/>
              </w:rPr>
              <w:t>Cet amendement proposé vise à permettre au titulaire de licence de faire appel à des formateurs qui ne sont pas des employés de l</w:t>
            </w:r>
            <w:r w:rsidR="0030467D" w:rsidRPr="00A92CED">
              <w:rPr>
                <w:lang w:val="fr-CA"/>
              </w:rPr>
              <w:t>’</w:t>
            </w:r>
            <w:r w:rsidRPr="00A92CED">
              <w:rPr>
                <w:lang w:val="fr-CA"/>
              </w:rPr>
              <w:t>entreprise.</w:t>
            </w:r>
          </w:p>
        </w:tc>
        <w:tc>
          <w:tcPr>
            <w:tcW w:w="3087" w:type="dxa"/>
          </w:tcPr>
          <w:p w14:paraId="58E5F379" w14:textId="77777777" w:rsidR="00FA05FB" w:rsidRPr="00A92CED" w:rsidRDefault="00FA05FB" w:rsidP="00817532">
            <w:pPr>
              <w:rPr>
                <w:b/>
                <w:lang w:val="fr-CA"/>
              </w:rPr>
            </w:pPr>
          </w:p>
        </w:tc>
      </w:tr>
      <w:tr w:rsidR="00A92CED" w:rsidRPr="00A92CED" w14:paraId="3E2DDB33" w14:textId="08BA4ECA" w:rsidTr="00E10233">
        <w:tc>
          <w:tcPr>
            <w:tcW w:w="3126" w:type="dxa"/>
          </w:tcPr>
          <w:p w14:paraId="496FDFD0" w14:textId="77777777" w:rsidR="00FA05FB" w:rsidRPr="00A92CED" w:rsidRDefault="00FA05FB">
            <w:pPr>
              <w:pStyle w:val="ListParagraph"/>
              <w:numPr>
                <w:ilvl w:val="0"/>
                <w:numId w:val="1"/>
              </w:numPr>
              <w:jc w:val="center"/>
              <w:rPr>
                <w:lang w:val="fr-CA"/>
              </w:rPr>
            </w:pPr>
          </w:p>
        </w:tc>
        <w:tc>
          <w:tcPr>
            <w:tcW w:w="3715" w:type="dxa"/>
          </w:tcPr>
          <w:p w14:paraId="63EA0D6B" w14:textId="645D31C6" w:rsidR="00FA05FB" w:rsidRPr="00A92CED" w:rsidRDefault="00FA05FB" w:rsidP="00817532">
            <w:pPr>
              <w:rPr>
                <w:rStyle w:val="fontstyle01"/>
                <w:rFonts w:ascii="Calibri" w:hAnsi="Calibri" w:cs="Calibri"/>
                <w:color w:val="auto"/>
                <w:sz w:val="22"/>
                <w:szCs w:val="22"/>
                <w:lang w:val="fr-CA"/>
              </w:rPr>
            </w:pPr>
            <w:r w:rsidRPr="00A92CED">
              <w:rPr>
                <w:rStyle w:val="fontstyle01"/>
                <w:rFonts w:ascii="Calibri" w:hAnsi="Calibri" w:cs="Calibri"/>
                <w:color w:val="auto"/>
                <w:sz w:val="22"/>
                <w:szCs w:val="22"/>
                <w:lang w:val="fr-CA"/>
              </w:rPr>
              <w:t xml:space="preserve">95 </w:t>
            </w:r>
            <w:r w:rsidRPr="00A92CED">
              <w:rPr>
                <w:rStyle w:val="fontstyle01"/>
                <w:rFonts w:ascii="Calibri" w:hAnsi="Calibri" w:cs="Calibri"/>
                <w:b w:val="0"/>
                <w:bCs w:val="0"/>
                <w:color w:val="auto"/>
                <w:sz w:val="22"/>
                <w:szCs w:val="22"/>
                <w:lang w:val="fr-CA"/>
              </w:rPr>
              <w:t xml:space="preserve">(1) </w:t>
            </w:r>
            <w:r w:rsidRPr="00A92CED">
              <w:rPr>
                <w:rStyle w:val="fontstyle21"/>
                <w:rFonts w:ascii="Calibri" w:hAnsi="Calibri" w:cs="Calibri"/>
                <w:color w:val="auto"/>
                <w:sz w:val="22"/>
                <w:szCs w:val="22"/>
                <w:lang w:val="fr-CA"/>
              </w:rPr>
              <w:t>L</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unité de fabrication mobile qui ne sera pas utilisée ou n</w:t>
            </w:r>
            <w:r w:rsidR="0030467D" w:rsidRPr="00A92CED">
              <w:rPr>
                <w:rStyle w:val="fontstyle21"/>
                <w:rFonts w:ascii="Calibri" w:hAnsi="Calibri" w:cs="Calibri"/>
                <w:color w:val="auto"/>
                <w:sz w:val="22"/>
                <w:szCs w:val="22"/>
                <w:lang w:val="fr-CA"/>
              </w:rPr>
              <w:t>’</w:t>
            </w:r>
            <w:r w:rsidRPr="00A92CED">
              <w:rPr>
                <w:rStyle w:val="fontstyle21"/>
                <w:rFonts w:ascii="Calibri" w:hAnsi="Calibri" w:cs="Calibri"/>
                <w:color w:val="auto"/>
                <w:sz w:val="22"/>
                <w:szCs w:val="22"/>
                <w:lang w:val="fr-CA"/>
              </w:rPr>
              <w:t xml:space="preserve">a pas été </w:t>
            </w:r>
            <w:r w:rsidRPr="00A92CED">
              <w:rPr>
                <w:rStyle w:val="fontstyle21"/>
                <w:rFonts w:ascii="Calibri" w:hAnsi="Calibri" w:cs="Calibri"/>
                <w:color w:val="auto"/>
                <w:sz w:val="22"/>
                <w:szCs w:val="22"/>
                <w:lang w:val="fr-CA"/>
              </w:rPr>
              <w:lastRenderedPageBreak/>
              <w:t>utilisée pendant trente jours consécutifs est nettoyée.</w:t>
            </w:r>
          </w:p>
        </w:tc>
        <w:tc>
          <w:tcPr>
            <w:tcW w:w="4076" w:type="dxa"/>
          </w:tcPr>
          <w:p w14:paraId="2511C06D" w14:textId="72E11F2B" w:rsidR="00FA05FB" w:rsidRPr="00A92CED" w:rsidRDefault="00770BD3" w:rsidP="00817532">
            <w:pPr>
              <w:rPr>
                <w:lang w:val="fr-CA"/>
              </w:rPr>
            </w:pPr>
            <w:r w:rsidRPr="00A92CED">
              <w:rPr>
                <w:bCs/>
                <w:lang w:val="fr-CA"/>
              </w:rPr>
              <w:lastRenderedPageBreak/>
              <w:t>Modifier l</w:t>
            </w:r>
            <w:r w:rsidR="0030467D" w:rsidRPr="00A92CED">
              <w:rPr>
                <w:bCs/>
                <w:lang w:val="fr-CA"/>
              </w:rPr>
              <w:t>’</w:t>
            </w:r>
            <w:r w:rsidRPr="00A92CED">
              <w:rPr>
                <w:bCs/>
                <w:lang w:val="fr-CA"/>
              </w:rPr>
              <w:t>article 95 pour supprimer le paragraphe (1).</w:t>
            </w:r>
          </w:p>
        </w:tc>
        <w:tc>
          <w:tcPr>
            <w:tcW w:w="3143" w:type="dxa"/>
            <w:gridSpan w:val="2"/>
          </w:tcPr>
          <w:p w14:paraId="350FE76C" w14:textId="5773C4C4" w:rsidR="00FA05FB" w:rsidRPr="00A92CED" w:rsidRDefault="00770BD3" w:rsidP="00817532">
            <w:pPr>
              <w:rPr>
                <w:b/>
                <w:lang w:val="fr-CA"/>
              </w:rPr>
            </w:pPr>
            <w:r w:rsidRPr="00A92CED">
              <w:rPr>
                <w:lang w:val="fr-CA"/>
              </w:rPr>
              <w:t>Cet amendement proposé appuie l</w:t>
            </w:r>
            <w:r w:rsidR="0030467D" w:rsidRPr="00A92CED">
              <w:rPr>
                <w:lang w:val="fr-CA"/>
              </w:rPr>
              <w:t>’</w:t>
            </w:r>
            <w:r w:rsidRPr="00A92CED">
              <w:rPr>
                <w:lang w:val="fr-CA"/>
              </w:rPr>
              <w:t xml:space="preserve">intention de la politique </w:t>
            </w:r>
            <w:r w:rsidRPr="00A92CED">
              <w:rPr>
                <w:lang w:val="fr-CA"/>
              </w:rPr>
              <w:lastRenderedPageBreak/>
              <w:t>de moderniser le Règlement en supprimant les exigences inutiles.</w:t>
            </w:r>
          </w:p>
        </w:tc>
        <w:tc>
          <w:tcPr>
            <w:tcW w:w="3087" w:type="dxa"/>
          </w:tcPr>
          <w:p w14:paraId="6E6D4916" w14:textId="77777777" w:rsidR="00FA05FB" w:rsidRPr="00A92CED" w:rsidRDefault="00FA05FB" w:rsidP="00817532">
            <w:pPr>
              <w:rPr>
                <w:b/>
                <w:lang w:val="fr-CA"/>
              </w:rPr>
            </w:pPr>
          </w:p>
        </w:tc>
      </w:tr>
      <w:tr w:rsidR="00A92CED" w:rsidRPr="00A92CED" w14:paraId="0297A4D1" w14:textId="7199C98D" w:rsidTr="00E10233">
        <w:tc>
          <w:tcPr>
            <w:tcW w:w="3126" w:type="dxa"/>
          </w:tcPr>
          <w:p w14:paraId="003EF984" w14:textId="77777777" w:rsidR="00FA05FB" w:rsidRPr="00A92CED" w:rsidRDefault="00FA05FB">
            <w:pPr>
              <w:pStyle w:val="ListParagraph"/>
              <w:numPr>
                <w:ilvl w:val="0"/>
                <w:numId w:val="1"/>
              </w:numPr>
              <w:jc w:val="center"/>
              <w:rPr>
                <w:lang w:val="fr-CA"/>
              </w:rPr>
            </w:pPr>
          </w:p>
        </w:tc>
        <w:tc>
          <w:tcPr>
            <w:tcW w:w="3715" w:type="dxa"/>
          </w:tcPr>
          <w:p w14:paraId="15E7F0DA" w14:textId="23C468B5" w:rsidR="00FA05FB" w:rsidRPr="00A92CED" w:rsidRDefault="00FA05FB" w:rsidP="00817532">
            <w:pPr>
              <w:rPr>
                <w:rFonts w:ascii="Calibri" w:hAnsi="Calibri" w:cs="Calibri"/>
                <w:lang w:val="fr-CA"/>
              </w:rPr>
            </w:pPr>
            <w:r w:rsidRPr="00A92CED">
              <w:rPr>
                <w:rFonts w:ascii="Calibri" w:hAnsi="Calibri" w:cs="Calibri"/>
                <w:b/>
                <w:bCs/>
                <w:lang w:val="fr-CA"/>
              </w:rPr>
              <w:t xml:space="preserve">99 </w:t>
            </w:r>
            <w:r w:rsidRPr="00A92CED">
              <w:rPr>
                <w:rFonts w:ascii="Calibri" w:hAnsi="Calibri" w:cs="Calibri"/>
                <w:lang w:val="fr-CA"/>
              </w:rPr>
              <w:t>(1)</w:t>
            </w:r>
            <w:r w:rsidRPr="00A92CED">
              <w:rPr>
                <w:rFonts w:ascii="Calibri" w:hAnsi="Calibri" w:cs="Calibri"/>
                <w:b/>
                <w:bCs/>
                <w:lang w:val="fr-CA"/>
              </w:rPr>
              <w:t xml:space="preserve"> </w:t>
            </w:r>
            <w:r w:rsidRPr="00A92CED">
              <w:rPr>
                <w:rFonts w:ascii="Calibri" w:hAnsi="Calibri" w:cs="Calibri"/>
                <w:lang w:val="fr-CA"/>
              </w:rPr>
              <w:t>L</w:t>
            </w:r>
            <w:r w:rsidR="0030467D" w:rsidRPr="00A92CED">
              <w:rPr>
                <w:rFonts w:ascii="Calibri" w:hAnsi="Calibri" w:cs="Calibri"/>
                <w:lang w:val="fr-CA"/>
              </w:rPr>
              <w:t>’</w:t>
            </w:r>
            <w:r w:rsidRPr="00A92CED">
              <w:rPr>
                <w:rFonts w:ascii="Calibri" w:hAnsi="Calibri" w:cs="Calibri"/>
                <w:lang w:val="fr-CA"/>
              </w:rPr>
              <w:t>unité de fabrication mobile ne peut être utilisée pour *fabriquer des *explosifs à un site client que si l</w:t>
            </w:r>
            <w:r w:rsidR="0030467D" w:rsidRPr="00A92CED">
              <w:rPr>
                <w:rFonts w:ascii="Calibri" w:hAnsi="Calibri" w:cs="Calibri"/>
                <w:lang w:val="fr-CA"/>
              </w:rPr>
              <w:t>’</w:t>
            </w:r>
            <w:r w:rsidRPr="00A92CED">
              <w:rPr>
                <w:rFonts w:ascii="Calibri" w:hAnsi="Calibri" w:cs="Calibri"/>
                <w:lang w:val="fr-CA"/>
              </w:rPr>
              <w:t>unité et le site client sont mentionnés dans la licence de fabrique de la section 1 ou dans un certificat de site satellite.</w:t>
            </w:r>
          </w:p>
          <w:p w14:paraId="34FB3881" w14:textId="77777777" w:rsidR="00FA05FB" w:rsidRPr="00A92CED" w:rsidRDefault="00FA05FB" w:rsidP="00817532">
            <w:pPr>
              <w:rPr>
                <w:rStyle w:val="fontstyle01"/>
                <w:rFonts w:ascii="Calibri" w:hAnsi="Calibri" w:cs="Calibri"/>
                <w:b w:val="0"/>
                <w:bCs w:val="0"/>
                <w:color w:val="auto"/>
                <w:sz w:val="22"/>
                <w:szCs w:val="22"/>
                <w:lang w:val="fr-CA"/>
              </w:rPr>
            </w:pPr>
          </w:p>
          <w:p w14:paraId="282EA91B" w14:textId="4AE670E5" w:rsidR="00FA05FB" w:rsidRPr="00A92CED" w:rsidRDefault="00FA05FB" w:rsidP="00817532">
            <w:pPr>
              <w:rPr>
                <w:rFonts w:ascii="Calibri" w:hAnsi="Calibri" w:cs="Calibri"/>
                <w:lang w:val="fr-CA"/>
              </w:rPr>
            </w:pPr>
            <w:r w:rsidRPr="00A92CED">
              <w:rPr>
                <w:rStyle w:val="fontstyle01"/>
                <w:rFonts w:ascii="Calibri" w:hAnsi="Calibri" w:cs="Calibri"/>
                <w:b w:val="0"/>
                <w:bCs w:val="0"/>
                <w:color w:val="auto"/>
                <w:sz w:val="22"/>
                <w:szCs w:val="22"/>
                <w:lang w:val="fr-CA"/>
              </w:rPr>
              <w:t xml:space="preserve">(2) </w:t>
            </w:r>
            <w:r w:rsidRPr="00A92CED">
              <w:rPr>
                <w:rFonts w:ascii="Calibri" w:hAnsi="Calibri" w:cs="Calibri"/>
                <w:lang w:val="fr-CA"/>
              </w:rPr>
              <w:t>Les opérations de fabrication à un site client ne sont effectuées que par une personne compétente.</w:t>
            </w:r>
          </w:p>
          <w:p w14:paraId="03958EB2" w14:textId="77777777" w:rsidR="00FA05FB" w:rsidRPr="00A92CED" w:rsidRDefault="00FA05FB" w:rsidP="00817532">
            <w:pPr>
              <w:rPr>
                <w:rFonts w:ascii="Calibri" w:hAnsi="Calibri" w:cs="Calibri"/>
                <w:lang w:val="fr-CA"/>
              </w:rPr>
            </w:pPr>
          </w:p>
          <w:p w14:paraId="12A3E900" w14:textId="1B8613B3" w:rsidR="00FA05FB" w:rsidRPr="00A92CED" w:rsidRDefault="00FA05FB" w:rsidP="00817532">
            <w:pPr>
              <w:rPr>
                <w:rFonts w:ascii="Calibri" w:hAnsi="Calibri" w:cs="Calibri"/>
                <w:lang w:val="fr-CA"/>
              </w:rPr>
            </w:pPr>
            <w:r w:rsidRPr="00A92CED">
              <w:rPr>
                <w:rFonts w:ascii="Calibri" w:hAnsi="Calibri" w:cs="Calibri"/>
                <w:lang w:val="fr-CA"/>
              </w:rPr>
              <w:t>(3) Avant le début des opérations de fabrication, les personnes au site client sont informées des précautions à prendre pendant le siphonage d</w:t>
            </w:r>
            <w:r w:rsidR="0030467D" w:rsidRPr="00A92CED">
              <w:rPr>
                <w:rFonts w:ascii="Calibri" w:hAnsi="Calibri" w:cs="Calibri"/>
                <w:lang w:val="fr-CA"/>
              </w:rPr>
              <w:t>’</w:t>
            </w:r>
            <w:r w:rsidRPr="00A92CED">
              <w:rPr>
                <w:rFonts w:ascii="Calibri" w:hAnsi="Calibri" w:cs="Calibri"/>
                <w:lang w:val="fr-CA"/>
              </w:rPr>
              <w:t>eau, le passage d</w:t>
            </w:r>
            <w:r w:rsidR="0030467D" w:rsidRPr="00A92CED">
              <w:rPr>
                <w:rFonts w:ascii="Calibri" w:hAnsi="Calibri" w:cs="Calibri"/>
                <w:lang w:val="fr-CA"/>
              </w:rPr>
              <w:t>’</w:t>
            </w:r>
            <w:r w:rsidRPr="00A92CED">
              <w:rPr>
                <w:rFonts w:ascii="Calibri" w:hAnsi="Calibri" w:cs="Calibri"/>
                <w:lang w:val="fr-CA"/>
              </w:rPr>
              <w:t>un véhicule au-dessus de trous de sautage contenant des explosifs, la manipulation du boyau de chargement et les opérations de chargement.</w:t>
            </w:r>
          </w:p>
          <w:p w14:paraId="518E8941" w14:textId="77777777" w:rsidR="00FA05FB" w:rsidRPr="00A92CED" w:rsidRDefault="00FA05FB" w:rsidP="00817532">
            <w:pPr>
              <w:rPr>
                <w:rFonts w:ascii="Calibri" w:hAnsi="Calibri" w:cs="Calibri"/>
                <w:lang w:val="fr-CA"/>
              </w:rPr>
            </w:pPr>
          </w:p>
          <w:p w14:paraId="727F2FB6" w14:textId="11A11C0D" w:rsidR="00FA05FB" w:rsidRPr="00A92CED" w:rsidRDefault="00FA05FB" w:rsidP="00817532">
            <w:pPr>
              <w:rPr>
                <w:rFonts w:ascii="Calibri" w:hAnsi="Calibri" w:cs="Calibri"/>
                <w:lang w:val="fr-CA"/>
              </w:rPr>
            </w:pPr>
            <w:r w:rsidRPr="00A92CED">
              <w:rPr>
                <w:rFonts w:ascii="Calibri" w:hAnsi="Calibri" w:cs="Calibri"/>
                <w:lang w:val="fr-CA"/>
              </w:rPr>
              <w:t>(4) Un objet ne peut se trouver dans un rayon de 15 m de l</w:t>
            </w:r>
            <w:r w:rsidR="0030467D" w:rsidRPr="00A92CED">
              <w:rPr>
                <w:rFonts w:ascii="Calibri" w:hAnsi="Calibri" w:cs="Calibri"/>
                <w:lang w:val="fr-CA"/>
              </w:rPr>
              <w:t>’</w:t>
            </w:r>
            <w:r w:rsidRPr="00A92CED">
              <w:rPr>
                <w:rFonts w:ascii="Calibri" w:hAnsi="Calibri" w:cs="Calibri"/>
                <w:lang w:val="fr-CA"/>
              </w:rPr>
              <w:t>unité de fabrication mobile et de son boyau de chargement, ni une activité y être exercée, si l</w:t>
            </w:r>
            <w:r w:rsidR="0030467D" w:rsidRPr="00A92CED">
              <w:rPr>
                <w:rFonts w:ascii="Calibri" w:hAnsi="Calibri" w:cs="Calibri"/>
                <w:lang w:val="fr-CA"/>
              </w:rPr>
              <w:t>’</w:t>
            </w:r>
            <w:r w:rsidRPr="00A92CED">
              <w:rPr>
                <w:rFonts w:ascii="Calibri" w:hAnsi="Calibri" w:cs="Calibri"/>
                <w:lang w:val="fr-CA"/>
              </w:rPr>
              <w:t>objet ou l</w:t>
            </w:r>
            <w:r w:rsidR="0030467D" w:rsidRPr="00A92CED">
              <w:rPr>
                <w:rFonts w:ascii="Calibri" w:hAnsi="Calibri" w:cs="Calibri"/>
                <w:lang w:val="fr-CA"/>
              </w:rPr>
              <w:t>’</w:t>
            </w:r>
            <w:r w:rsidRPr="00A92CED">
              <w:rPr>
                <w:rFonts w:ascii="Calibri" w:hAnsi="Calibri" w:cs="Calibri"/>
                <w:lang w:val="fr-CA"/>
              </w:rPr>
              <w:t>activité pourrait augmenter la probabilité d</w:t>
            </w:r>
            <w:r w:rsidR="0030467D" w:rsidRPr="00A92CED">
              <w:rPr>
                <w:rFonts w:ascii="Calibri" w:hAnsi="Calibri" w:cs="Calibri"/>
                <w:lang w:val="fr-CA"/>
              </w:rPr>
              <w:t>’</w:t>
            </w:r>
            <w:r w:rsidRPr="00A92CED">
              <w:rPr>
                <w:rFonts w:ascii="Calibri" w:hAnsi="Calibri" w:cs="Calibri"/>
                <w:lang w:val="fr-CA"/>
              </w:rPr>
              <w:t>un allumage accidentel.</w:t>
            </w:r>
          </w:p>
          <w:p w14:paraId="4F57346A" w14:textId="77777777" w:rsidR="00FA05FB" w:rsidRPr="00A92CED" w:rsidRDefault="00FA05FB" w:rsidP="00817532">
            <w:pPr>
              <w:rPr>
                <w:rStyle w:val="fontstyle01"/>
                <w:rFonts w:ascii="Georgia" w:hAnsi="Georgia"/>
                <w:b w:val="0"/>
                <w:bCs w:val="0"/>
                <w:color w:val="auto"/>
                <w:sz w:val="20"/>
                <w:szCs w:val="20"/>
                <w:lang w:val="fr-CA"/>
              </w:rPr>
            </w:pPr>
          </w:p>
          <w:p w14:paraId="15587F4D" w14:textId="1917C446" w:rsidR="00FA05FB" w:rsidRPr="00A92CED" w:rsidRDefault="00FA05FB" w:rsidP="00817532">
            <w:pPr>
              <w:rPr>
                <w:rFonts w:ascii="Calibri" w:hAnsi="Calibri" w:cs="Calibri"/>
                <w:lang w:val="fr-CA"/>
              </w:rPr>
            </w:pPr>
            <w:r w:rsidRPr="00A92CED">
              <w:rPr>
                <w:rStyle w:val="fontstyle01"/>
                <w:rFonts w:ascii="Calibri" w:hAnsi="Calibri" w:cs="Calibri"/>
                <w:b w:val="0"/>
                <w:bCs w:val="0"/>
                <w:color w:val="auto"/>
                <w:sz w:val="22"/>
                <w:szCs w:val="22"/>
                <w:lang w:val="fr-CA"/>
              </w:rPr>
              <w:lastRenderedPageBreak/>
              <w:t xml:space="preserve">(5) </w:t>
            </w:r>
            <w:r w:rsidRPr="00A92CED">
              <w:rPr>
                <w:rFonts w:ascii="Calibri" w:hAnsi="Calibri" w:cs="Calibri"/>
                <w:lang w:val="fr-CA"/>
              </w:rPr>
              <w:t>Une personne ne peut être autorisée à entrer dans la zone située dans un rayon de 15 m d</w:t>
            </w:r>
            <w:r w:rsidR="0030467D" w:rsidRPr="00A92CED">
              <w:rPr>
                <w:rFonts w:ascii="Calibri" w:hAnsi="Calibri" w:cs="Calibri"/>
                <w:lang w:val="fr-CA"/>
              </w:rPr>
              <w:t>’</w:t>
            </w:r>
            <w:r w:rsidRPr="00A92CED">
              <w:rPr>
                <w:rFonts w:ascii="Calibri" w:hAnsi="Calibri" w:cs="Calibri"/>
                <w:lang w:val="fr-CA"/>
              </w:rPr>
              <w:t>une unité de fabrication mobile et de son boyau de chargement lorsque l</w:t>
            </w:r>
            <w:r w:rsidR="0030467D" w:rsidRPr="00A92CED">
              <w:rPr>
                <w:rFonts w:ascii="Calibri" w:hAnsi="Calibri" w:cs="Calibri"/>
                <w:lang w:val="fr-CA"/>
              </w:rPr>
              <w:t>’</w:t>
            </w:r>
            <w:r w:rsidRPr="00A92CED">
              <w:rPr>
                <w:rFonts w:ascii="Calibri" w:hAnsi="Calibri" w:cs="Calibri"/>
                <w:lang w:val="fr-CA"/>
              </w:rPr>
              <w:t>unité est utilisée s</w:t>
            </w:r>
            <w:r w:rsidR="0030467D" w:rsidRPr="00A92CED">
              <w:rPr>
                <w:rFonts w:ascii="Calibri" w:hAnsi="Calibri" w:cs="Calibri"/>
                <w:lang w:val="fr-CA"/>
              </w:rPr>
              <w:t>’</w:t>
            </w:r>
            <w:r w:rsidRPr="00A92CED">
              <w:rPr>
                <w:rFonts w:ascii="Calibri" w:hAnsi="Calibri" w:cs="Calibri"/>
                <w:lang w:val="fr-CA"/>
              </w:rPr>
              <w:t>il existe des motifs raisonnables de croire qu</w:t>
            </w:r>
            <w:r w:rsidR="0030467D" w:rsidRPr="00A92CED">
              <w:rPr>
                <w:rFonts w:ascii="Calibri" w:hAnsi="Calibri" w:cs="Calibri"/>
                <w:lang w:val="fr-CA"/>
              </w:rPr>
              <w:t>’</w:t>
            </w:r>
            <w:r w:rsidRPr="00A92CED">
              <w:rPr>
                <w:rFonts w:ascii="Calibri" w:hAnsi="Calibri" w:cs="Calibri"/>
                <w:lang w:val="fr-CA"/>
              </w:rPr>
              <w:t>elle est sous l</w:t>
            </w:r>
            <w:r w:rsidR="0030467D" w:rsidRPr="00A92CED">
              <w:rPr>
                <w:rFonts w:ascii="Calibri" w:hAnsi="Calibri" w:cs="Calibri"/>
                <w:lang w:val="fr-CA"/>
              </w:rPr>
              <w:t>’</w:t>
            </w:r>
            <w:r w:rsidRPr="00A92CED">
              <w:rPr>
                <w:rFonts w:ascii="Calibri" w:hAnsi="Calibri" w:cs="Calibri"/>
                <w:lang w:val="fr-CA"/>
              </w:rPr>
              <w:t>effet de l</w:t>
            </w:r>
            <w:r w:rsidR="0030467D" w:rsidRPr="00A92CED">
              <w:rPr>
                <w:rFonts w:ascii="Calibri" w:hAnsi="Calibri" w:cs="Calibri"/>
                <w:lang w:val="fr-CA"/>
              </w:rPr>
              <w:t>’</w:t>
            </w:r>
            <w:r w:rsidRPr="00A92CED">
              <w:rPr>
                <w:rFonts w:ascii="Calibri" w:hAnsi="Calibri" w:cs="Calibri"/>
                <w:lang w:val="fr-CA"/>
              </w:rPr>
              <w:t>alcool ou d</w:t>
            </w:r>
            <w:r w:rsidR="0030467D" w:rsidRPr="00A92CED">
              <w:rPr>
                <w:rFonts w:ascii="Calibri" w:hAnsi="Calibri" w:cs="Calibri"/>
                <w:lang w:val="fr-CA"/>
              </w:rPr>
              <w:t>’</w:t>
            </w:r>
            <w:r w:rsidRPr="00A92CED">
              <w:rPr>
                <w:rFonts w:ascii="Calibri" w:hAnsi="Calibri" w:cs="Calibri"/>
                <w:lang w:val="fr-CA"/>
              </w:rPr>
              <w:t>une autre substance qui diminue sa capacité de fonctionner ou qu</w:t>
            </w:r>
            <w:r w:rsidR="0030467D" w:rsidRPr="00A92CED">
              <w:rPr>
                <w:rFonts w:ascii="Calibri" w:hAnsi="Calibri" w:cs="Calibri"/>
                <w:lang w:val="fr-CA"/>
              </w:rPr>
              <w:t>’</w:t>
            </w:r>
            <w:r w:rsidRPr="00A92CED">
              <w:rPr>
                <w:rFonts w:ascii="Calibri" w:hAnsi="Calibri" w:cs="Calibri"/>
                <w:lang w:val="fr-CA"/>
              </w:rPr>
              <w:t>elle a sur elle une telle substance. La personne qui a pris un médicament sur ordonnance peut être autorisée à y entrer si elle possède une preuve médicale attestant que le médicament est nécessaire et ne diminuera pas sa capacité de fonctionner en toute sécurité.</w:t>
            </w:r>
          </w:p>
          <w:p w14:paraId="6832AB2D" w14:textId="77777777" w:rsidR="00FA05FB" w:rsidRPr="00A92CED" w:rsidRDefault="00FA05FB" w:rsidP="00817532">
            <w:pPr>
              <w:rPr>
                <w:rFonts w:ascii="Calibri" w:hAnsi="Calibri" w:cs="Calibri"/>
                <w:lang w:val="fr-CA"/>
              </w:rPr>
            </w:pPr>
          </w:p>
          <w:p w14:paraId="67FF7FCB" w14:textId="5E02167F" w:rsidR="00FA05FB" w:rsidRPr="00A92CED" w:rsidRDefault="00FA05FB" w:rsidP="00817532">
            <w:pPr>
              <w:rPr>
                <w:rFonts w:ascii="Calibri" w:hAnsi="Calibri" w:cs="Calibri"/>
                <w:lang w:val="fr-CA"/>
              </w:rPr>
            </w:pPr>
            <w:r w:rsidRPr="00A92CED">
              <w:rPr>
                <w:rFonts w:ascii="Calibri" w:hAnsi="Calibri" w:cs="Calibri"/>
                <w:lang w:val="fr-CA"/>
              </w:rPr>
              <w:t>(6) Il est interdit de permettre à toute personne de fumer dans un rayon de 15 m de l</w:t>
            </w:r>
            <w:r w:rsidR="0030467D" w:rsidRPr="00A92CED">
              <w:rPr>
                <w:rFonts w:ascii="Calibri" w:hAnsi="Calibri" w:cs="Calibri"/>
                <w:lang w:val="fr-CA"/>
              </w:rPr>
              <w:t>’</w:t>
            </w:r>
            <w:r w:rsidRPr="00A92CED">
              <w:rPr>
                <w:rFonts w:ascii="Calibri" w:hAnsi="Calibri" w:cs="Calibri"/>
                <w:lang w:val="fr-CA"/>
              </w:rPr>
              <w:t>unité de fabrication mobile et de son boyau de chargement.</w:t>
            </w:r>
          </w:p>
          <w:p w14:paraId="71377FFD" w14:textId="77777777" w:rsidR="00FA05FB" w:rsidRPr="00A92CED" w:rsidRDefault="00FA05FB" w:rsidP="00817532">
            <w:pPr>
              <w:rPr>
                <w:rFonts w:ascii="Calibri" w:hAnsi="Calibri" w:cs="Calibri"/>
                <w:lang w:val="fr-CA"/>
              </w:rPr>
            </w:pPr>
          </w:p>
          <w:p w14:paraId="0AF6E318" w14:textId="143FBD7B" w:rsidR="00FA05FB" w:rsidRPr="00A92CED" w:rsidRDefault="00FA05FB" w:rsidP="00817532">
            <w:pPr>
              <w:rPr>
                <w:rStyle w:val="fontstyle01"/>
                <w:rFonts w:ascii="Calibri" w:hAnsi="Calibri" w:cs="Calibri"/>
                <w:b w:val="0"/>
                <w:bCs w:val="0"/>
                <w:color w:val="auto"/>
                <w:sz w:val="22"/>
                <w:szCs w:val="22"/>
                <w:lang w:val="fr-CA"/>
              </w:rPr>
            </w:pPr>
            <w:r w:rsidRPr="00A92CED">
              <w:rPr>
                <w:rFonts w:ascii="Calibri" w:hAnsi="Calibri" w:cs="Calibri"/>
                <w:lang w:val="fr-CA"/>
              </w:rPr>
              <w:t>(7) À l</w:t>
            </w:r>
            <w:r w:rsidR="0030467D" w:rsidRPr="00A92CED">
              <w:rPr>
                <w:rFonts w:ascii="Calibri" w:hAnsi="Calibri" w:cs="Calibri"/>
                <w:lang w:val="fr-CA"/>
              </w:rPr>
              <w:t>’</w:t>
            </w:r>
            <w:r w:rsidRPr="00A92CED">
              <w:rPr>
                <w:rFonts w:ascii="Calibri" w:hAnsi="Calibri" w:cs="Calibri"/>
                <w:lang w:val="fr-CA"/>
              </w:rPr>
              <w:t>approche d</w:t>
            </w:r>
            <w:r w:rsidR="0030467D" w:rsidRPr="00A92CED">
              <w:rPr>
                <w:rFonts w:ascii="Calibri" w:hAnsi="Calibri" w:cs="Calibri"/>
                <w:lang w:val="fr-CA"/>
              </w:rPr>
              <w:t>’</w:t>
            </w:r>
            <w:r w:rsidRPr="00A92CED">
              <w:rPr>
                <w:rFonts w:ascii="Calibri" w:hAnsi="Calibri" w:cs="Calibri"/>
                <w:lang w:val="fr-CA"/>
              </w:rPr>
              <w:t>un orage, si une unité de fabrication mobile se trouve à la surface d</w:t>
            </w:r>
            <w:r w:rsidR="0030467D" w:rsidRPr="00A92CED">
              <w:rPr>
                <w:rFonts w:ascii="Calibri" w:hAnsi="Calibri" w:cs="Calibri"/>
                <w:lang w:val="fr-CA"/>
              </w:rPr>
              <w:t>’</w:t>
            </w:r>
            <w:r w:rsidRPr="00A92CED">
              <w:rPr>
                <w:rFonts w:ascii="Calibri" w:hAnsi="Calibri" w:cs="Calibri"/>
                <w:lang w:val="fr-CA"/>
              </w:rPr>
              <w:t>un site client, les opérations de fabrication dans l</w:t>
            </w:r>
            <w:r w:rsidR="0030467D" w:rsidRPr="00A92CED">
              <w:rPr>
                <w:rFonts w:ascii="Calibri" w:hAnsi="Calibri" w:cs="Calibri"/>
                <w:lang w:val="fr-CA"/>
              </w:rPr>
              <w:t>’</w:t>
            </w:r>
            <w:r w:rsidRPr="00A92CED">
              <w:rPr>
                <w:rFonts w:ascii="Calibri" w:hAnsi="Calibri" w:cs="Calibri"/>
                <w:lang w:val="fr-CA"/>
              </w:rPr>
              <w:t>unité sont interrompues et les personnes qui se trouvent à proximité de l</w:t>
            </w:r>
            <w:r w:rsidR="0030467D" w:rsidRPr="00A92CED">
              <w:rPr>
                <w:rFonts w:ascii="Calibri" w:hAnsi="Calibri" w:cs="Calibri"/>
                <w:lang w:val="fr-CA"/>
              </w:rPr>
              <w:t>’</w:t>
            </w:r>
            <w:r w:rsidRPr="00A92CED">
              <w:rPr>
                <w:rFonts w:ascii="Calibri" w:hAnsi="Calibri" w:cs="Calibri"/>
                <w:lang w:val="fr-CA"/>
              </w:rPr>
              <w:t>unité sont évacuées sans délai vers un lieu sécuritaire. Jusqu</w:t>
            </w:r>
            <w:r w:rsidR="0030467D" w:rsidRPr="00A92CED">
              <w:rPr>
                <w:rFonts w:ascii="Calibri" w:hAnsi="Calibri" w:cs="Calibri"/>
                <w:lang w:val="fr-CA"/>
              </w:rPr>
              <w:t>’</w:t>
            </w:r>
            <w:r w:rsidRPr="00A92CED">
              <w:rPr>
                <w:rFonts w:ascii="Calibri" w:hAnsi="Calibri" w:cs="Calibri"/>
                <w:lang w:val="fr-CA"/>
              </w:rPr>
              <w:t>à ce que l</w:t>
            </w:r>
            <w:r w:rsidR="0030467D" w:rsidRPr="00A92CED">
              <w:rPr>
                <w:rFonts w:ascii="Calibri" w:hAnsi="Calibri" w:cs="Calibri"/>
                <w:lang w:val="fr-CA"/>
              </w:rPr>
              <w:t>’</w:t>
            </w:r>
            <w:r w:rsidRPr="00A92CED">
              <w:rPr>
                <w:rFonts w:ascii="Calibri" w:hAnsi="Calibri" w:cs="Calibri"/>
                <w:lang w:val="fr-CA"/>
              </w:rPr>
              <w:t xml:space="preserve">orage soit passé, les opérations demeurent interrompues et il est interdit aux </w:t>
            </w:r>
            <w:r w:rsidRPr="00A92CED">
              <w:rPr>
                <w:rFonts w:ascii="Calibri" w:hAnsi="Calibri" w:cs="Calibri"/>
                <w:lang w:val="fr-CA"/>
              </w:rPr>
              <w:lastRenderedPageBreak/>
              <w:t>personnes — y compris par une</w:t>
            </w:r>
            <w:r w:rsidRPr="00A92CED">
              <w:rPr>
                <w:rFonts w:ascii="Calibri" w:hAnsi="Calibri" w:cs="Calibri"/>
                <w:lang w:val="fr-CA"/>
              </w:rPr>
              <w:br/>
              <w:t>action ou un moyen matériel — de retourner à proximité de l</w:t>
            </w:r>
            <w:r w:rsidR="0030467D" w:rsidRPr="00A92CED">
              <w:rPr>
                <w:rFonts w:ascii="Calibri" w:hAnsi="Calibri" w:cs="Calibri"/>
                <w:lang w:val="fr-CA"/>
              </w:rPr>
              <w:t>’</w:t>
            </w:r>
            <w:r w:rsidRPr="00A92CED">
              <w:rPr>
                <w:rFonts w:ascii="Calibri" w:hAnsi="Calibri" w:cs="Calibri"/>
                <w:lang w:val="fr-CA"/>
              </w:rPr>
              <w:t>unité.</w:t>
            </w:r>
          </w:p>
        </w:tc>
        <w:tc>
          <w:tcPr>
            <w:tcW w:w="4076" w:type="dxa"/>
          </w:tcPr>
          <w:p w14:paraId="48645E37" w14:textId="3F7DB8FF" w:rsidR="00770BD3" w:rsidRPr="00A92CED" w:rsidRDefault="00770BD3" w:rsidP="00770BD3">
            <w:pPr>
              <w:rPr>
                <w:lang w:val="fr-CA"/>
              </w:rPr>
            </w:pPr>
            <w:r w:rsidRPr="00A92CED">
              <w:rPr>
                <w:lang w:val="fr-CA"/>
              </w:rPr>
              <w:lastRenderedPageBreak/>
              <w:t>Modifier l</w:t>
            </w:r>
            <w:r w:rsidR="0030467D" w:rsidRPr="00A92CED">
              <w:rPr>
                <w:lang w:val="fr-CA"/>
              </w:rPr>
              <w:t>’</w:t>
            </w:r>
            <w:r w:rsidRPr="00A92CED">
              <w:rPr>
                <w:lang w:val="fr-CA"/>
              </w:rPr>
              <w:t>article 99 pour ajouter les nouvelles exigences ci-après</w:t>
            </w:r>
            <w:r w:rsidR="00B031E3" w:rsidRPr="00A92CED">
              <w:rPr>
                <w:lang w:val="fr-CA"/>
              </w:rPr>
              <w:t>, sauf sur un site minier ou une carrière</w:t>
            </w:r>
            <w:r w:rsidRPr="00A92CED">
              <w:rPr>
                <w:lang w:val="fr-CA"/>
              </w:rPr>
              <w:t xml:space="preserve"> : </w:t>
            </w:r>
          </w:p>
          <w:p w14:paraId="4D7F3521" w14:textId="01D8225A" w:rsidR="00770BD3" w:rsidRPr="00A92CED" w:rsidRDefault="00770BD3" w:rsidP="00770BD3">
            <w:pPr>
              <w:rPr>
                <w:lang w:val="fr-CA"/>
              </w:rPr>
            </w:pPr>
            <w:r w:rsidRPr="00A92CED">
              <w:rPr>
                <w:lang w:val="fr-CA"/>
              </w:rPr>
              <w:t>-</w:t>
            </w:r>
            <w:r w:rsidRPr="00A92CED">
              <w:rPr>
                <w:lang w:val="fr-CA"/>
              </w:rPr>
              <w:tab/>
              <w:t xml:space="preserve">Chaque unité de fabrication mobile fabriquant des explosifs </w:t>
            </w:r>
            <w:r w:rsidR="00D76AC7" w:rsidRPr="00A92CED">
              <w:rPr>
                <w:lang w:val="fr-CA"/>
              </w:rPr>
              <w:t>à un site client</w:t>
            </w:r>
            <w:r w:rsidRPr="00A92CED">
              <w:rPr>
                <w:lang w:val="fr-CA"/>
              </w:rPr>
              <w:t xml:space="preserve"> est située à une distance acceptable des constructions et des infrastructures avoisinantes, ainsi que des endroits où des personnes sont fort susceptibles de se trouver. </w:t>
            </w:r>
          </w:p>
          <w:p w14:paraId="3C72D4A8" w14:textId="335A9E6F" w:rsidR="00FA05FB" w:rsidRPr="00A92CED" w:rsidRDefault="00770BD3" w:rsidP="00770BD3">
            <w:pPr>
              <w:rPr>
                <w:lang w:val="fr-CA"/>
              </w:rPr>
            </w:pPr>
            <w:r w:rsidRPr="00A92CED">
              <w:rPr>
                <w:lang w:val="fr-CA"/>
              </w:rPr>
              <w:t>-</w:t>
            </w:r>
            <w:r w:rsidRPr="00A92CED">
              <w:rPr>
                <w:lang w:val="fr-CA"/>
              </w:rPr>
              <w:tab/>
            </w:r>
            <w:r w:rsidR="00275DCA" w:rsidRPr="00A92CED">
              <w:rPr>
                <w:lang w:val="fr-CA"/>
              </w:rPr>
              <w:t>La distance acceptable est déterminée par le ministre en fonction des risques pour les personnes ou les biens, compte tenu de la quantité et du type d</w:t>
            </w:r>
            <w:r w:rsidR="0030467D" w:rsidRPr="00A92CED">
              <w:rPr>
                <w:lang w:val="fr-CA"/>
              </w:rPr>
              <w:t>’</w:t>
            </w:r>
            <w:r w:rsidR="00275DCA" w:rsidRPr="00A92CED">
              <w:rPr>
                <w:lang w:val="fr-CA"/>
              </w:rPr>
              <w:t>explosifs qui seront fabriqués, des matières premières qui seront utilisées, des opérations de fabrication qui seront effectuées, de la solidité, de la proximité et de l</w:t>
            </w:r>
            <w:r w:rsidR="0030467D" w:rsidRPr="00A92CED">
              <w:rPr>
                <w:lang w:val="fr-CA"/>
              </w:rPr>
              <w:t>’</w:t>
            </w:r>
            <w:r w:rsidR="00275DCA" w:rsidRPr="00A92CED">
              <w:rPr>
                <w:lang w:val="fr-CA"/>
              </w:rPr>
              <w:t>utilisation des constructions et des infrastructures avoisinantes et du nombre de personnes qui sont fort susceptibles de se trouver à proximité de l</w:t>
            </w:r>
            <w:r w:rsidR="0030467D" w:rsidRPr="00A92CED">
              <w:rPr>
                <w:lang w:val="fr-CA"/>
              </w:rPr>
              <w:t>’</w:t>
            </w:r>
            <w:r w:rsidR="00275DCA" w:rsidRPr="00A92CED">
              <w:rPr>
                <w:lang w:val="fr-CA"/>
              </w:rPr>
              <w:t>unité</w:t>
            </w:r>
            <w:r w:rsidR="00B031E3" w:rsidRPr="00A92CED">
              <w:rPr>
                <w:lang w:val="fr-CA"/>
              </w:rPr>
              <w:t xml:space="preserve"> de </w:t>
            </w:r>
            <w:r w:rsidR="00E10233" w:rsidRPr="00A92CED">
              <w:rPr>
                <w:lang w:val="fr-CA"/>
              </w:rPr>
              <w:t>fabrication mobile</w:t>
            </w:r>
            <w:r w:rsidR="00275DCA" w:rsidRPr="00A92CED">
              <w:rPr>
                <w:lang w:val="fr-CA"/>
              </w:rPr>
              <w:t>, de la poudrière ou de l</w:t>
            </w:r>
            <w:r w:rsidR="0030467D" w:rsidRPr="00A92CED">
              <w:rPr>
                <w:lang w:val="fr-CA"/>
              </w:rPr>
              <w:t>’</w:t>
            </w:r>
            <w:r w:rsidR="00275DCA" w:rsidRPr="00A92CED">
              <w:rPr>
                <w:lang w:val="fr-CA"/>
              </w:rPr>
              <w:t>installation.</w:t>
            </w:r>
          </w:p>
        </w:tc>
        <w:tc>
          <w:tcPr>
            <w:tcW w:w="3143" w:type="dxa"/>
            <w:gridSpan w:val="2"/>
          </w:tcPr>
          <w:p w14:paraId="1C54F715" w14:textId="004F8944" w:rsidR="00FA05FB" w:rsidRPr="00A92CED" w:rsidRDefault="00275DCA" w:rsidP="00817532">
            <w:pPr>
              <w:rPr>
                <w:b/>
                <w:lang w:val="fr-CA"/>
              </w:rPr>
            </w:pPr>
            <w:r w:rsidRPr="00A92CED">
              <w:rPr>
                <w:lang w:val="fr-CA"/>
              </w:rPr>
              <w:t xml:space="preserve">Cet amendement proposé vise à </w:t>
            </w:r>
            <w:r w:rsidR="00B031E3" w:rsidRPr="00A92CED">
              <w:rPr>
                <w:lang w:val="fr-CA"/>
              </w:rPr>
              <w:t>enchâsser les politiques actuelles de RNCan sur la sécurité sur les sites clients autres que les sites miniers ou les carrières dans le Règlement plutôt que de les inclure dans les modalités de chaque permis</w:t>
            </w:r>
            <w:r w:rsidRPr="00A92CED">
              <w:rPr>
                <w:lang w:val="fr-CA"/>
              </w:rPr>
              <w:t>. Cet amendement proposé se fonde en partie sur le libellé des paragraphes 63(1) et 63(2) du Règlement.</w:t>
            </w:r>
          </w:p>
        </w:tc>
        <w:tc>
          <w:tcPr>
            <w:tcW w:w="3087" w:type="dxa"/>
          </w:tcPr>
          <w:p w14:paraId="33D60A1A" w14:textId="77777777" w:rsidR="00FA05FB" w:rsidRPr="00A92CED" w:rsidRDefault="00FA05FB" w:rsidP="00817532">
            <w:pPr>
              <w:rPr>
                <w:b/>
                <w:lang w:val="fr-CA"/>
              </w:rPr>
            </w:pPr>
          </w:p>
        </w:tc>
      </w:tr>
      <w:tr w:rsidR="00A92CED" w:rsidRPr="00A92CED" w14:paraId="72089BD4" w14:textId="77777777" w:rsidTr="00E10233">
        <w:tc>
          <w:tcPr>
            <w:tcW w:w="3126" w:type="dxa"/>
          </w:tcPr>
          <w:p w14:paraId="2872CFED" w14:textId="77777777" w:rsidR="00E10233" w:rsidRPr="00A92CED" w:rsidRDefault="00E10233">
            <w:pPr>
              <w:pStyle w:val="ListParagraph"/>
              <w:numPr>
                <w:ilvl w:val="0"/>
                <w:numId w:val="1"/>
              </w:numPr>
              <w:jc w:val="center"/>
              <w:rPr>
                <w:lang w:val="fr-CA"/>
              </w:rPr>
            </w:pPr>
          </w:p>
        </w:tc>
        <w:tc>
          <w:tcPr>
            <w:tcW w:w="3715" w:type="dxa"/>
          </w:tcPr>
          <w:p w14:paraId="579F883E" w14:textId="6CD57B45" w:rsidR="00E10233" w:rsidRPr="00A92CED" w:rsidRDefault="00E10233" w:rsidP="00E10233">
            <w:pPr>
              <w:rPr>
                <w:rFonts w:ascii="Calibri" w:hAnsi="Calibri" w:cs="Calibri"/>
                <w:b/>
                <w:bCs/>
                <w:lang w:val="fr-CA"/>
              </w:rPr>
            </w:pPr>
            <w:r w:rsidRPr="00A92CED">
              <w:rPr>
                <w:rFonts w:ascii="Calibri" w:hAnsi="Calibri" w:cs="Calibri"/>
                <w:b/>
                <w:bCs/>
                <w:lang w:val="fr-CA"/>
              </w:rPr>
              <w:t xml:space="preserve">99 </w:t>
            </w:r>
            <w:r w:rsidRPr="00A92CED">
              <w:rPr>
                <w:rFonts w:ascii="Calibri" w:hAnsi="Calibri" w:cs="Calibri"/>
                <w:lang w:val="fr-CA"/>
              </w:rPr>
              <w:t>(7) À l’approche d’un orage, si une unité de fabrication mobile se trouve à la surface d’un site client, les opérations de fabrication dans l’unité sont interrompues et les personnes qui se trouvent à proximité de l’unité sont évacuées sans délai vers un lieu sécuritaire. Jusqu’à ce que l’orage soit passé, les opérations demeurent interrompues et il est interdit aux personnes — y compris par une action ou un moyen matériel — de retourner à proximité de l’unité.</w:t>
            </w:r>
          </w:p>
        </w:tc>
        <w:tc>
          <w:tcPr>
            <w:tcW w:w="4076" w:type="dxa"/>
          </w:tcPr>
          <w:p w14:paraId="1E3AA7DD" w14:textId="446C4198" w:rsidR="00E10233" w:rsidRPr="00A92CED" w:rsidRDefault="00E10233" w:rsidP="00770BD3">
            <w:pPr>
              <w:rPr>
                <w:lang w:val="fr-CA"/>
              </w:rPr>
            </w:pPr>
            <w:r w:rsidRPr="00A92CED">
              <w:rPr>
                <w:lang w:val="fr-CA"/>
              </w:rPr>
              <w:t>Modifier le paragraphe 99(7) pour remplacer « l’unité » par « l’unité de fabrication mobile ».</w:t>
            </w:r>
          </w:p>
        </w:tc>
        <w:tc>
          <w:tcPr>
            <w:tcW w:w="3143" w:type="dxa"/>
            <w:gridSpan w:val="2"/>
          </w:tcPr>
          <w:p w14:paraId="4B468DFE" w14:textId="5C71B210" w:rsidR="00E10233" w:rsidRPr="00A92CED" w:rsidRDefault="00E10233" w:rsidP="00817532">
            <w:pPr>
              <w:rPr>
                <w:lang w:val="fr-CA"/>
              </w:rPr>
            </w:pPr>
            <w:r w:rsidRPr="00A92CED">
              <w:rPr>
                <w:lang w:val="fr-CA"/>
              </w:rPr>
              <w:t xml:space="preserve">La modification proposée vise à clarifier le libellé utilisé pour cette exigence. </w:t>
            </w:r>
          </w:p>
        </w:tc>
        <w:tc>
          <w:tcPr>
            <w:tcW w:w="3087" w:type="dxa"/>
          </w:tcPr>
          <w:p w14:paraId="6CC238C4" w14:textId="77777777" w:rsidR="00E10233" w:rsidRPr="00A92CED" w:rsidRDefault="00E10233" w:rsidP="00817532">
            <w:pPr>
              <w:rPr>
                <w:b/>
                <w:lang w:val="fr-CA"/>
              </w:rPr>
            </w:pPr>
          </w:p>
        </w:tc>
      </w:tr>
      <w:tr w:rsidR="00A92CED" w:rsidRPr="00A92CED" w14:paraId="69532A92" w14:textId="7ED020F8" w:rsidTr="00E10233">
        <w:tc>
          <w:tcPr>
            <w:tcW w:w="3126" w:type="dxa"/>
          </w:tcPr>
          <w:p w14:paraId="0E9AA4A5" w14:textId="77777777" w:rsidR="00E10233" w:rsidRPr="00A92CED" w:rsidRDefault="00E10233">
            <w:pPr>
              <w:pStyle w:val="ListParagraph"/>
              <w:numPr>
                <w:ilvl w:val="0"/>
                <w:numId w:val="1"/>
              </w:numPr>
              <w:jc w:val="center"/>
              <w:rPr>
                <w:lang w:val="fr-CA"/>
              </w:rPr>
            </w:pPr>
          </w:p>
        </w:tc>
        <w:tc>
          <w:tcPr>
            <w:tcW w:w="3715" w:type="dxa"/>
          </w:tcPr>
          <w:p w14:paraId="5DAB02B1" w14:textId="6A1973B4" w:rsidR="00E10233" w:rsidRPr="00A92CED" w:rsidRDefault="00E10233" w:rsidP="00817532">
            <w:pPr>
              <w:rPr>
                <w:rStyle w:val="fontstyle01"/>
                <w:rFonts w:ascii="Calibri" w:hAnsi="Calibri" w:cs="Calibri"/>
                <w:color w:val="auto"/>
                <w:sz w:val="22"/>
                <w:szCs w:val="22"/>
                <w:lang w:val="fr-CA"/>
              </w:rPr>
            </w:pPr>
            <w:r w:rsidRPr="00A92CED">
              <w:rPr>
                <w:rStyle w:val="fontstyle01"/>
                <w:rFonts w:ascii="Calibri" w:hAnsi="Calibri" w:cs="Calibri"/>
                <w:color w:val="auto"/>
                <w:sz w:val="22"/>
                <w:szCs w:val="22"/>
                <w:lang w:val="fr-CA"/>
              </w:rPr>
              <w:t xml:space="preserve">99 </w:t>
            </w:r>
            <w:r w:rsidRPr="00A92CED">
              <w:rPr>
                <w:rStyle w:val="fontstyle01"/>
                <w:rFonts w:ascii="Calibri" w:hAnsi="Calibri" w:cs="Calibri"/>
                <w:b w:val="0"/>
                <w:bCs w:val="0"/>
                <w:color w:val="auto"/>
                <w:sz w:val="22"/>
                <w:szCs w:val="22"/>
                <w:lang w:val="fr-CA"/>
              </w:rPr>
              <w:t>(3)</w:t>
            </w:r>
            <w:r w:rsidRPr="00A92CED">
              <w:rPr>
                <w:rStyle w:val="fontstyle01"/>
                <w:rFonts w:ascii="Calibri" w:hAnsi="Calibri" w:cs="Calibri"/>
                <w:color w:val="auto"/>
                <w:sz w:val="22"/>
                <w:szCs w:val="22"/>
                <w:lang w:val="fr-CA"/>
              </w:rPr>
              <w:t xml:space="preserve"> </w:t>
            </w:r>
            <w:r w:rsidRPr="00A92CED">
              <w:rPr>
                <w:rStyle w:val="fontstyle21"/>
                <w:rFonts w:ascii="Calibri" w:hAnsi="Calibri" w:cs="Calibri"/>
                <w:color w:val="auto"/>
                <w:sz w:val="22"/>
                <w:szCs w:val="22"/>
                <w:lang w:val="fr-CA"/>
              </w:rPr>
              <w:t>Avant le début des opérations de fabrication, les personnes au site client sont informées des précautions à prendre pendant le siphonage d’eau, le passage d’un véhicule au-dessus de trous de sautage contenant des explosifs, la manipulation du boyau de chargement et les opérations de chargement.</w:t>
            </w:r>
          </w:p>
        </w:tc>
        <w:tc>
          <w:tcPr>
            <w:tcW w:w="4076" w:type="dxa"/>
          </w:tcPr>
          <w:p w14:paraId="04932C5A" w14:textId="6107BB40" w:rsidR="00E10233" w:rsidRPr="00A92CED" w:rsidRDefault="00E10233" w:rsidP="00817532">
            <w:pPr>
              <w:rPr>
                <w:lang w:val="fr-CA"/>
              </w:rPr>
            </w:pPr>
            <w:r w:rsidRPr="00A92CED">
              <w:rPr>
                <w:lang w:val="fr-CA"/>
              </w:rPr>
              <w:t xml:space="preserve">Modifier la version anglaise du paragraphe 99(3) pour remplacer </w:t>
            </w:r>
            <w:r w:rsidRPr="00A92CED">
              <w:rPr>
                <w:rFonts w:cstheme="minorHAnsi"/>
                <w:lang w:val="fr-CA"/>
              </w:rPr>
              <w:t>« every one </w:t>
            </w:r>
            <w:r w:rsidRPr="00A92CED">
              <w:rPr>
                <w:rFonts w:ascii="Calibri" w:hAnsi="Calibri" w:cs="Calibri"/>
                <w:lang w:val="fr-CA"/>
              </w:rPr>
              <w:t xml:space="preserve">» par </w:t>
            </w:r>
            <w:r w:rsidRPr="00A92CED">
              <w:rPr>
                <w:rFonts w:cstheme="minorHAnsi"/>
                <w:lang w:val="fr-CA"/>
              </w:rPr>
              <w:t>« everyone </w:t>
            </w:r>
            <w:r w:rsidRPr="00A92CED">
              <w:rPr>
                <w:rFonts w:ascii="Calibri" w:hAnsi="Calibri" w:cs="Calibri"/>
                <w:lang w:val="fr-CA"/>
              </w:rPr>
              <w:t>».</w:t>
            </w:r>
          </w:p>
        </w:tc>
        <w:tc>
          <w:tcPr>
            <w:tcW w:w="3143" w:type="dxa"/>
            <w:gridSpan w:val="2"/>
          </w:tcPr>
          <w:p w14:paraId="1D192954" w14:textId="77BEB0C2" w:rsidR="00E10233" w:rsidRPr="00A92CED" w:rsidRDefault="00E10233" w:rsidP="00817532">
            <w:pPr>
              <w:rPr>
                <w:b/>
                <w:lang w:val="fr-CA"/>
              </w:rPr>
            </w:pPr>
            <w:r w:rsidRPr="00A92CED">
              <w:rPr>
                <w:lang w:val="fr-CA"/>
              </w:rPr>
              <w:t>Cet amendement proposé vise à corriger une coquille.</w:t>
            </w:r>
          </w:p>
        </w:tc>
        <w:tc>
          <w:tcPr>
            <w:tcW w:w="3087" w:type="dxa"/>
          </w:tcPr>
          <w:p w14:paraId="118DD769" w14:textId="77777777" w:rsidR="00E10233" w:rsidRPr="00A92CED" w:rsidRDefault="00E10233" w:rsidP="00817532">
            <w:pPr>
              <w:rPr>
                <w:b/>
                <w:lang w:val="fr-CA"/>
              </w:rPr>
            </w:pPr>
          </w:p>
        </w:tc>
      </w:tr>
      <w:tr w:rsidR="00A92CED" w:rsidRPr="00A92CED" w14:paraId="0A4FB9A2" w14:textId="098DA0CD" w:rsidTr="00E10233">
        <w:tc>
          <w:tcPr>
            <w:tcW w:w="3126" w:type="dxa"/>
          </w:tcPr>
          <w:p w14:paraId="323549A9" w14:textId="77777777" w:rsidR="00E10233" w:rsidRPr="00A92CED" w:rsidRDefault="00E10233">
            <w:pPr>
              <w:pStyle w:val="ListParagraph"/>
              <w:numPr>
                <w:ilvl w:val="0"/>
                <w:numId w:val="1"/>
              </w:numPr>
              <w:jc w:val="center"/>
              <w:rPr>
                <w:lang w:val="fr-CA"/>
              </w:rPr>
            </w:pPr>
          </w:p>
        </w:tc>
        <w:tc>
          <w:tcPr>
            <w:tcW w:w="3715" w:type="dxa"/>
          </w:tcPr>
          <w:p w14:paraId="4157B934" w14:textId="5603284B" w:rsidR="00E10233" w:rsidRPr="00A92CED" w:rsidRDefault="00E10233" w:rsidP="00817532">
            <w:pPr>
              <w:rPr>
                <w:rStyle w:val="fontstyle01"/>
                <w:rFonts w:ascii="Calibri" w:hAnsi="Calibri" w:cs="Calibri"/>
                <w:color w:val="auto"/>
                <w:sz w:val="22"/>
                <w:szCs w:val="22"/>
                <w:lang w:val="fr-CA"/>
              </w:rPr>
            </w:pPr>
            <w:r w:rsidRPr="00A92CED">
              <w:rPr>
                <w:rStyle w:val="fontstyle01"/>
                <w:rFonts w:ascii="Calibri" w:hAnsi="Calibri" w:cs="Calibri"/>
                <w:color w:val="auto"/>
                <w:sz w:val="22"/>
                <w:szCs w:val="22"/>
                <w:lang w:val="fr-CA"/>
              </w:rPr>
              <w:t>NOUVEAU</w:t>
            </w:r>
          </w:p>
        </w:tc>
        <w:tc>
          <w:tcPr>
            <w:tcW w:w="4076" w:type="dxa"/>
          </w:tcPr>
          <w:p w14:paraId="7DFE505E" w14:textId="5435204B" w:rsidR="00E10233" w:rsidRPr="00A92CED" w:rsidRDefault="00E10233" w:rsidP="00FA146D">
            <w:pPr>
              <w:rPr>
                <w:lang w:val="fr-CA"/>
              </w:rPr>
            </w:pPr>
            <w:r w:rsidRPr="00A92CED">
              <w:rPr>
                <w:lang w:val="fr-CA"/>
              </w:rPr>
              <w:t xml:space="preserve">Ajouter une nouvelle exigence à la sous-section C de la section 1 de la partie 5 afin d’autoriser la fabrication de perforateurs à charge creuse à un site client, si </w:t>
            </w:r>
            <w:r w:rsidRPr="00A92CED">
              <w:rPr>
                <w:lang w:val="fr-CA"/>
              </w:rPr>
              <w:t>la fabrication est nécessaire sur le plan opérationnel et que</w:t>
            </w:r>
            <w:r w:rsidRPr="00A92CED">
              <w:rPr>
                <w:lang w:val="fr-CA"/>
              </w:rPr>
              <w:t xml:space="preserve"> les exigences ci-après sont respectées :</w:t>
            </w:r>
          </w:p>
          <w:p w14:paraId="205E2F6C" w14:textId="721B1352" w:rsidR="00E10233" w:rsidRPr="00A92CED" w:rsidRDefault="00E10233" w:rsidP="00FA146D">
            <w:pPr>
              <w:rPr>
                <w:lang w:val="fr-CA"/>
              </w:rPr>
            </w:pPr>
            <w:r w:rsidRPr="00A92CED">
              <w:rPr>
                <w:lang w:val="fr-CA"/>
              </w:rPr>
              <w:lastRenderedPageBreak/>
              <w:t>-</w:t>
            </w:r>
            <w:r w:rsidRPr="00A92CED">
              <w:rPr>
                <w:lang w:val="fr-CA"/>
              </w:rPr>
              <w:tab/>
              <w:t>L’assemblage des perforateurs à charge creuse est effectué par une personne compétente;</w:t>
            </w:r>
          </w:p>
          <w:p w14:paraId="584DF842" w14:textId="4FB17B52" w:rsidR="00E10233" w:rsidRPr="00A92CED" w:rsidRDefault="00E10233" w:rsidP="00FA146D">
            <w:pPr>
              <w:rPr>
                <w:lang w:val="fr-CA"/>
              </w:rPr>
            </w:pPr>
            <w:r w:rsidRPr="00A92CED">
              <w:rPr>
                <w:lang w:val="fr-CA"/>
              </w:rPr>
              <w:t>-</w:t>
            </w:r>
            <w:r w:rsidRPr="00A92CED">
              <w:rPr>
                <w:lang w:val="fr-CA"/>
              </w:rPr>
              <w:tab/>
              <w:t xml:space="preserve">L’assemblage des perforateurs à charge creuse est effectué loin de tout bien et de tout secteur où se trouvent d’autres personnes, de façon à réduire le plus possible la probabilité d’effets néfastes pour les personnes et les biens; </w:t>
            </w:r>
          </w:p>
          <w:p w14:paraId="4239D464" w14:textId="59157105" w:rsidR="00E10233" w:rsidRPr="00A92CED" w:rsidRDefault="00E10233" w:rsidP="00FA146D">
            <w:pPr>
              <w:rPr>
                <w:lang w:val="fr-CA"/>
              </w:rPr>
            </w:pPr>
            <w:r w:rsidRPr="00A92CED">
              <w:rPr>
                <w:lang w:val="fr-CA"/>
              </w:rPr>
              <w:t>-</w:t>
            </w:r>
            <w:r w:rsidRPr="00A92CED">
              <w:rPr>
                <w:lang w:val="fr-CA"/>
              </w:rPr>
              <w:tab/>
              <w:t>Le nombre de personnes présentes lors de l’assemblage des perforateurs à charge creuse est limité au minimum requis pour en assurer l’assemblage sécuritaire;</w:t>
            </w:r>
          </w:p>
          <w:p w14:paraId="5D68CD71" w14:textId="7676917D" w:rsidR="00E10233" w:rsidRPr="00A92CED" w:rsidRDefault="00E10233" w:rsidP="00FA146D">
            <w:pPr>
              <w:rPr>
                <w:lang w:val="fr-CA"/>
              </w:rPr>
            </w:pPr>
            <w:r w:rsidRPr="00A92CED">
              <w:rPr>
                <w:lang w:val="fr-CA"/>
              </w:rPr>
              <w:t>-</w:t>
            </w:r>
            <w:r w:rsidRPr="00A92CED">
              <w:rPr>
                <w:lang w:val="fr-CA"/>
              </w:rPr>
              <w:tab/>
              <w:t>L’assemblage des perforateurs à charge creuse au site client n’augmente pas de manière significative les risques pour les personnes et les biens par rapport à l’assemblage de ces perforateurs à charge creuse au site d’une fabrique.</w:t>
            </w:r>
          </w:p>
        </w:tc>
        <w:tc>
          <w:tcPr>
            <w:tcW w:w="3143" w:type="dxa"/>
            <w:gridSpan w:val="2"/>
          </w:tcPr>
          <w:p w14:paraId="189E41D1" w14:textId="07387F6B" w:rsidR="00E10233" w:rsidRPr="00A92CED" w:rsidRDefault="00E10233" w:rsidP="00817532">
            <w:pPr>
              <w:rPr>
                <w:b/>
                <w:lang w:val="fr-CA"/>
              </w:rPr>
            </w:pPr>
            <w:r w:rsidRPr="00A92CED">
              <w:rPr>
                <w:lang w:val="fr-CA"/>
              </w:rPr>
              <w:lastRenderedPageBreak/>
              <w:t>Ces amendements proposés visent à moderniser les exigences s’appliquant à la fabrication au point d’utilisation de perforateurs à charge creuse.</w:t>
            </w:r>
          </w:p>
        </w:tc>
        <w:tc>
          <w:tcPr>
            <w:tcW w:w="3087" w:type="dxa"/>
          </w:tcPr>
          <w:p w14:paraId="195EA128" w14:textId="77777777" w:rsidR="00E10233" w:rsidRPr="00A92CED" w:rsidRDefault="00E10233" w:rsidP="00817532">
            <w:pPr>
              <w:rPr>
                <w:b/>
                <w:lang w:val="fr-CA"/>
              </w:rPr>
            </w:pPr>
          </w:p>
        </w:tc>
      </w:tr>
      <w:tr w:rsidR="00A92CED" w:rsidRPr="00A92CED" w14:paraId="34F392AD" w14:textId="5E593659" w:rsidTr="00E10233">
        <w:tc>
          <w:tcPr>
            <w:tcW w:w="3126" w:type="dxa"/>
          </w:tcPr>
          <w:p w14:paraId="3694FF94" w14:textId="77777777" w:rsidR="00E10233" w:rsidRPr="00A92CED" w:rsidRDefault="00E10233">
            <w:pPr>
              <w:pStyle w:val="ListParagraph"/>
              <w:numPr>
                <w:ilvl w:val="0"/>
                <w:numId w:val="1"/>
              </w:numPr>
              <w:jc w:val="center"/>
              <w:rPr>
                <w:lang w:val="fr-CA"/>
              </w:rPr>
            </w:pPr>
          </w:p>
        </w:tc>
        <w:tc>
          <w:tcPr>
            <w:tcW w:w="3715" w:type="dxa"/>
          </w:tcPr>
          <w:p w14:paraId="0D1D90C2" w14:textId="6E409D89" w:rsidR="00E10233" w:rsidRPr="00A92CED" w:rsidRDefault="00E10233" w:rsidP="00817532">
            <w:pPr>
              <w:rPr>
                <w:rStyle w:val="fontstyle01"/>
                <w:rFonts w:ascii="Calibri" w:hAnsi="Calibri" w:cs="Calibri"/>
                <w:color w:val="auto"/>
                <w:sz w:val="22"/>
                <w:szCs w:val="22"/>
                <w:lang w:val="fr-CA"/>
              </w:rPr>
            </w:pPr>
            <w:r w:rsidRPr="00A92CED">
              <w:rPr>
                <w:rStyle w:val="fontstyle01"/>
                <w:rFonts w:ascii="Calibri" w:hAnsi="Calibri" w:cs="Calibri"/>
                <w:color w:val="auto"/>
                <w:sz w:val="22"/>
                <w:szCs w:val="22"/>
                <w:lang w:val="fr-CA"/>
              </w:rPr>
              <w:t>NOUVEAU</w:t>
            </w:r>
          </w:p>
        </w:tc>
        <w:tc>
          <w:tcPr>
            <w:tcW w:w="4076" w:type="dxa"/>
          </w:tcPr>
          <w:p w14:paraId="42471A99" w14:textId="72AB7C2E" w:rsidR="00E10233" w:rsidRPr="00A92CED" w:rsidRDefault="00E10233" w:rsidP="00817532">
            <w:pPr>
              <w:rPr>
                <w:lang w:val="fr-CA"/>
              </w:rPr>
            </w:pPr>
            <w:r w:rsidRPr="00A92CED">
              <w:rPr>
                <w:lang w:val="fr-CA"/>
              </w:rPr>
              <w:t>Modifier la section 1 de la partie 5 du Règlement pour ajouter une nouvelle exigence stipulant que toutes les poudrières pour les explosifs de type E et de type I doivent faire l’objet d’une surveillance physique ou électronique que le ministre juge acceptable, en fonction des risques pour la sécurité au site agréé, à moins d’indication contraire sur la licence.</w:t>
            </w:r>
          </w:p>
        </w:tc>
        <w:tc>
          <w:tcPr>
            <w:tcW w:w="3143" w:type="dxa"/>
            <w:gridSpan w:val="2"/>
          </w:tcPr>
          <w:p w14:paraId="4DEC5079" w14:textId="44732544" w:rsidR="00E10233" w:rsidRPr="00A92CED" w:rsidRDefault="00E10233" w:rsidP="00035360">
            <w:pPr>
              <w:rPr>
                <w:lang w:val="fr-CA"/>
              </w:rPr>
            </w:pPr>
            <w:r w:rsidRPr="00A92CED">
              <w:rPr>
                <w:lang w:val="fr-CA"/>
              </w:rPr>
              <w:t xml:space="preserve">Cette exigence est actuellement incluse dans les conditions de toutes les licences de fabrique de la section 1 et de la section 2 délivrées en vertu de la partie 5 du Règlement et de toutes les licences de poudrière. Comme il s’agit d’une exigence permanente qui s’applique à tous ces types de licences, cet amendement proposé vise à inscrire cette exigence dans le Règlement aux sections 1 et 2 </w:t>
            </w:r>
            <w:r w:rsidRPr="00A92CED">
              <w:rPr>
                <w:lang w:val="fr-CA"/>
              </w:rPr>
              <w:lastRenderedPageBreak/>
              <w:t xml:space="preserve">de la partie 5 et à la partie 6 plutôt que de l’inclure dans les conditions de chaque licence. </w:t>
            </w:r>
          </w:p>
          <w:p w14:paraId="7DD82292" w14:textId="77777777" w:rsidR="00E10233" w:rsidRPr="00A92CED" w:rsidRDefault="00E10233" w:rsidP="00035360">
            <w:pPr>
              <w:rPr>
                <w:lang w:val="fr-CA"/>
              </w:rPr>
            </w:pPr>
          </w:p>
          <w:p w14:paraId="3CD43B4B" w14:textId="0C55BAA3" w:rsidR="00E10233" w:rsidRPr="00A92CED" w:rsidRDefault="00E10233" w:rsidP="00035360">
            <w:pPr>
              <w:rPr>
                <w:b/>
                <w:lang w:val="fr-CA"/>
              </w:rPr>
            </w:pPr>
            <w:r w:rsidRPr="00A92CED">
              <w:rPr>
                <w:lang w:val="fr-CA"/>
              </w:rPr>
              <w:t>Une politique de RNCan définirait les moyens physiques ou électroniques que le ministère juge acceptables.</w:t>
            </w:r>
          </w:p>
        </w:tc>
        <w:tc>
          <w:tcPr>
            <w:tcW w:w="3087" w:type="dxa"/>
          </w:tcPr>
          <w:p w14:paraId="1F86E4BA" w14:textId="77777777" w:rsidR="00E10233" w:rsidRPr="00A92CED" w:rsidRDefault="00E10233" w:rsidP="00817532">
            <w:pPr>
              <w:rPr>
                <w:b/>
                <w:lang w:val="fr-CA"/>
              </w:rPr>
            </w:pPr>
          </w:p>
        </w:tc>
      </w:tr>
      <w:tr w:rsidR="00A92CED" w:rsidRPr="00A92CED" w14:paraId="128AF065" w14:textId="150178BB" w:rsidTr="00F47EB0">
        <w:tc>
          <w:tcPr>
            <w:tcW w:w="17147" w:type="dxa"/>
            <w:gridSpan w:val="6"/>
            <w:shd w:val="clear" w:color="auto" w:fill="F2F2F2" w:themeFill="background1" w:themeFillShade="F2"/>
          </w:tcPr>
          <w:p w14:paraId="74816A82" w14:textId="37A46CF7" w:rsidR="00E10233" w:rsidRPr="00A92CED" w:rsidRDefault="00E10233" w:rsidP="006E242C">
            <w:pPr>
              <w:spacing w:before="60" w:after="60"/>
              <w:jc w:val="center"/>
              <w:rPr>
                <w:rFonts w:ascii="Arial" w:hAnsi="Arial" w:cs="Arial"/>
                <w:sz w:val="24"/>
                <w:szCs w:val="24"/>
                <w:lang w:val="fr-CA"/>
              </w:rPr>
            </w:pPr>
            <w:r w:rsidRPr="00A92CED">
              <w:rPr>
                <w:rFonts w:ascii="Arial" w:hAnsi="Arial" w:cs="Arial"/>
                <w:sz w:val="24"/>
                <w:szCs w:val="24"/>
                <w:lang w:val="fr-CA"/>
              </w:rPr>
              <w:t>Section 2: Fabrication d’explosifs autorisée par une licence de fabrique de la section 2 ou par un certificat de fabrication</w:t>
            </w:r>
          </w:p>
        </w:tc>
      </w:tr>
      <w:tr w:rsidR="00A92CED" w:rsidRPr="00A92CED" w14:paraId="5306E2E8" w14:textId="23DFEF7F" w:rsidTr="00E10233">
        <w:tc>
          <w:tcPr>
            <w:tcW w:w="3126" w:type="dxa"/>
          </w:tcPr>
          <w:p w14:paraId="617EC135" w14:textId="77777777" w:rsidR="00E10233" w:rsidRPr="00A92CED" w:rsidRDefault="00E10233">
            <w:pPr>
              <w:pStyle w:val="ListParagraph"/>
              <w:numPr>
                <w:ilvl w:val="0"/>
                <w:numId w:val="1"/>
              </w:numPr>
              <w:jc w:val="center"/>
              <w:rPr>
                <w:lang w:val="fr-CA"/>
              </w:rPr>
            </w:pPr>
          </w:p>
        </w:tc>
        <w:tc>
          <w:tcPr>
            <w:tcW w:w="3715" w:type="dxa"/>
          </w:tcPr>
          <w:p w14:paraId="2E9FE7BC" w14:textId="3FB751E7" w:rsidR="00E10233" w:rsidRPr="00A92CED" w:rsidRDefault="00E10233" w:rsidP="001D320A">
            <w:pPr>
              <w:rPr>
                <w:rFonts w:ascii="Calibri" w:hAnsi="Calibri" w:cs="Calibri"/>
                <w:lang w:val="fr-CA"/>
              </w:rPr>
            </w:pPr>
            <w:r w:rsidRPr="00A92CED">
              <w:rPr>
                <w:rFonts w:ascii="Calibri" w:hAnsi="Calibri" w:cs="Calibri"/>
                <w:b/>
                <w:bCs/>
                <w:lang w:val="fr-CA"/>
              </w:rPr>
              <w:t xml:space="preserve">107 </w:t>
            </w:r>
            <w:r w:rsidRPr="00A92CED">
              <w:rPr>
                <w:rFonts w:ascii="Calibri" w:hAnsi="Calibri" w:cs="Calibri"/>
                <w:lang w:val="fr-CA"/>
              </w:rPr>
              <w:t>(1)</w:t>
            </w:r>
            <w:r w:rsidRPr="00A92CED">
              <w:rPr>
                <w:rFonts w:ascii="Calibri" w:hAnsi="Calibri" w:cs="Calibri"/>
                <w:b/>
                <w:bCs/>
                <w:lang w:val="fr-CA"/>
              </w:rPr>
              <w:t xml:space="preserve"> </w:t>
            </w:r>
            <w:r w:rsidRPr="00A92CED">
              <w:rPr>
                <w:rFonts w:ascii="Calibri" w:hAnsi="Calibri" w:cs="Calibri"/>
                <w:lang w:val="fr-CA"/>
              </w:rPr>
              <w:t>Le titulaire d’une licence de fabrique de la section 2 ou d’un certificat de fabrication peut effectuer celles des activités ci-après qui sont précisées dans sa licence ou dans son certificat, à un lieu de travail qui y est également précisé :</w:t>
            </w:r>
          </w:p>
          <w:p w14:paraId="56C6F966" w14:textId="3BF7035B" w:rsidR="00E10233" w:rsidRPr="00A92CED" w:rsidRDefault="00E10233" w:rsidP="005F17A2">
            <w:pPr>
              <w:ind w:left="720"/>
              <w:rPr>
                <w:rFonts w:ascii="Calibri" w:hAnsi="Calibri" w:cs="Calibri"/>
                <w:b/>
                <w:lang w:val="fr-CA"/>
              </w:rPr>
            </w:pPr>
            <w:r w:rsidRPr="00A92CED">
              <w:rPr>
                <w:rFonts w:ascii="Calibri" w:hAnsi="Calibri" w:cs="Calibri"/>
                <w:lang w:val="fr-CA"/>
              </w:rPr>
              <w:t>a)</w:t>
            </w:r>
            <w:r w:rsidRPr="00A92CED">
              <w:rPr>
                <w:rFonts w:ascii="Calibri" w:hAnsi="Calibri" w:cs="Calibri"/>
                <w:b/>
                <w:bCs/>
                <w:lang w:val="fr-CA"/>
              </w:rPr>
              <w:t xml:space="preserve"> </w:t>
            </w:r>
            <w:r w:rsidRPr="00A92CED">
              <w:rPr>
                <w:rFonts w:ascii="Calibri" w:hAnsi="Calibri" w:cs="Calibri"/>
                <w:lang w:val="fr-CA"/>
              </w:rPr>
              <w:t>dans le cas du propriétaire d’une mine à ciel ouvert ou d’une carrière, le mélange de nitrate d’ammonium et de fuel-oil à un site de sautage de la mine ou à la</w:t>
            </w:r>
            <w:r w:rsidRPr="00A92CED">
              <w:rPr>
                <w:rFonts w:ascii="Calibri" w:hAnsi="Calibri" w:cs="Calibri"/>
                <w:lang w:val="fr-CA"/>
              </w:rPr>
              <w:br/>
              <w:t>carrière;</w:t>
            </w:r>
          </w:p>
        </w:tc>
        <w:tc>
          <w:tcPr>
            <w:tcW w:w="4076" w:type="dxa"/>
          </w:tcPr>
          <w:p w14:paraId="2A5AB485" w14:textId="12DCFF07" w:rsidR="00E10233" w:rsidRPr="00A92CED" w:rsidRDefault="00E10233" w:rsidP="00817532">
            <w:pPr>
              <w:rPr>
                <w:lang w:val="fr-CA"/>
              </w:rPr>
            </w:pPr>
            <w:r w:rsidRPr="00A92CED">
              <w:rPr>
                <w:bCs/>
                <w:lang w:val="fr-CA"/>
              </w:rPr>
              <w:t>Modifier le paragraphe 107(1) pour supprimer l’alinéa a).</w:t>
            </w:r>
          </w:p>
        </w:tc>
        <w:tc>
          <w:tcPr>
            <w:tcW w:w="3143" w:type="dxa"/>
            <w:gridSpan w:val="2"/>
          </w:tcPr>
          <w:p w14:paraId="74CC0C75" w14:textId="4A880F8E" w:rsidR="00E10233" w:rsidRPr="00A92CED" w:rsidRDefault="00E10233" w:rsidP="00817532">
            <w:pPr>
              <w:rPr>
                <w:lang w:val="fr-CA"/>
              </w:rPr>
            </w:pPr>
            <w:r w:rsidRPr="00A92CED">
              <w:rPr>
                <w:lang w:val="fr-CA"/>
              </w:rPr>
              <w:t>Cet amendement proposé vise à supprimer une exigence inutile.</w:t>
            </w:r>
          </w:p>
        </w:tc>
        <w:tc>
          <w:tcPr>
            <w:tcW w:w="3087" w:type="dxa"/>
          </w:tcPr>
          <w:p w14:paraId="60F38EC3" w14:textId="77777777" w:rsidR="00E10233" w:rsidRPr="00A92CED" w:rsidRDefault="00E10233" w:rsidP="00817532">
            <w:pPr>
              <w:rPr>
                <w:lang w:val="fr-CA"/>
              </w:rPr>
            </w:pPr>
          </w:p>
        </w:tc>
      </w:tr>
      <w:tr w:rsidR="00A92CED" w:rsidRPr="00A92CED" w14:paraId="76C7EADB" w14:textId="7AB8AE72" w:rsidTr="00E10233">
        <w:tc>
          <w:tcPr>
            <w:tcW w:w="3126" w:type="dxa"/>
          </w:tcPr>
          <w:p w14:paraId="0B3A8CA9" w14:textId="77777777" w:rsidR="00E10233" w:rsidRPr="00A92CED" w:rsidRDefault="00E10233">
            <w:pPr>
              <w:pStyle w:val="ListParagraph"/>
              <w:numPr>
                <w:ilvl w:val="0"/>
                <w:numId w:val="1"/>
              </w:numPr>
              <w:jc w:val="center"/>
              <w:rPr>
                <w:lang w:val="fr-CA"/>
              </w:rPr>
            </w:pPr>
          </w:p>
        </w:tc>
        <w:tc>
          <w:tcPr>
            <w:tcW w:w="3715" w:type="dxa"/>
          </w:tcPr>
          <w:p w14:paraId="5E254533" w14:textId="6C9E8B7D" w:rsidR="00E10233" w:rsidRPr="00A92CED" w:rsidRDefault="00E10233" w:rsidP="005F17A2">
            <w:pPr>
              <w:rPr>
                <w:rFonts w:ascii="Calibri" w:hAnsi="Calibri" w:cs="Calibri"/>
                <w:lang w:val="fr-CA"/>
              </w:rPr>
            </w:pPr>
            <w:r w:rsidRPr="00A92CED">
              <w:rPr>
                <w:rFonts w:ascii="Calibri" w:hAnsi="Calibri" w:cs="Calibri"/>
                <w:b/>
                <w:bCs/>
                <w:lang w:val="fr-CA"/>
              </w:rPr>
              <w:t xml:space="preserve">107 </w:t>
            </w:r>
            <w:r w:rsidRPr="00A92CED">
              <w:rPr>
                <w:rFonts w:ascii="Calibri" w:hAnsi="Calibri" w:cs="Calibri"/>
                <w:lang w:val="fr-CA"/>
              </w:rPr>
              <w:t>(1)</w:t>
            </w:r>
            <w:r w:rsidRPr="00A92CED">
              <w:rPr>
                <w:rFonts w:ascii="Calibri" w:hAnsi="Calibri" w:cs="Calibri"/>
                <w:b/>
                <w:bCs/>
                <w:lang w:val="fr-CA"/>
              </w:rPr>
              <w:t xml:space="preserve"> </w:t>
            </w:r>
            <w:r w:rsidRPr="00A92CED">
              <w:rPr>
                <w:rFonts w:ascii="Calibri" w:hAnsi="Calibri" w:cs="Calibri"/>
                <w:lang w:val="fr-CA"/>
              </w:rPr>
              <w:t>Le titulaire d’une licence de fabrique de la section 2 ou d’un certificat de fabrication peut effectuer celles des activités ci-après qui sont précisées dans sa licence ou dans son certificat, à un lieu de travail qui y est également précisé :</w:t>
            </w:r>
          </w:p>
          <w:p w14:paraId="6032E03F" w14:textId="71C39611" w:rsidR="00E10233" w:rsidRPr="00A92CED" w:rsidRDefault="00E10233" w:rsidP="005F17A2">
            <w:pPr>
              <w:ind w:left="720"/>
              <w:rPr>
                <w:b/>
                <w:lang w:val="fr-CA"/>
              </w:rPr>
            </w:pPr>
            <w:r w:rsidRPr="00A92CED">
              <w:rPr>
                <w:rFonts w:ascii="Calibri" w:hAnsi="Calibri" w:cs="Calibri"/>
                <w:lang w:val="fr-CA"/>
              </w:rPr>
              <w:t>b)</w:t>
            </w:r>
            <w:r w:rsidRPr="00A92CED">
              <w:rPr>
                <w:rFonts w:ascii="Calibri" w:hAnsi="Calibri" w:cs="Calibri"/>
                <w:b/>
                <w:bCs/>
                <w:lang w:val="fr-CA"/>
              </w:rPr>
              <w:t xml:space="preserve"> </w:t>
            </w:r>
            <w:r w:rsidRPr="00A92CED">
              <w:rPr>
                <w:rFonts w:ascii="Calibri" w:hAnsi="Calibri" w:cs="Calibri"/>
                <w:lang w:val="fr-CA"/>
              </w:rPr>
              <w:t xml:space="preserve">la fabrication de *cartouches pour armes de </w:t>
            </w:r>
            <w:r w:rsidRPr="00A92CED">
              <w:rPr>
                <w:rFonts w:ascii="Calibri" w:hAnsi="Calibri" w:cs="Calibri"/>
                <w:lang w:val="fr-CA"/>
              </w:rPr>
              <w:lastRenderedPageBreak/>
              <w:t>petit calibre à des fins de vente, le stockage d’au plus 225 kg d’*explosifs contenus dans les cartouches et d’au plus 75 kg de poudre propulsive en vrac qui sera utilisée pour la fabrication de ces cartouches;</w:t>
            </w:r>
          </w:p>
        </w:tc>
        <w:tc>
          <w:tcPr>
            <w:tcW w:w="4076" w:type="dxa"/>
          </w:tcPr>
          <w:p w14:paraId="1AD1BB36" w14:textId="5D68648F" w:rsidR="00E10233" w:rsidRPr="00A92CED" w:rsidRDefault="00E10233" w:rsidP="00817532">
            <w:pPr>
              <w:rPr>
                <w:lang w:val="fr-CA"/>
              </w:rPr>
            </w:pPr>
            <w:r w:rsidRPr="00A92CED">
              <w:rPr>
                <w:bCs/>
                <w:lang w:val="fr-CA"/>
              </w:rPr>
              <w:lastRenderedPageBreak/>
              <w:t xml:space="preserve">Modifier l’alinéa 107(1)b) pour remplacer </w:t>
            </w:r>
            <w:r w:rsidRPr="00A92CED">
              <w:rPr>
                <w:rFonts w:cstheme="minorHAnsi"/>
                <w:bCs/>
                <w:lang w:val="fr-CA"/>
              </w:rPr>
              <w:t>« en vrac </w:t>
            </w:r>
            <w:r w:rsidRPr="00A92CED">
              <w:rPr>
                <w:rFonts w:ascii="Calibri" w:hAnsi="Calibri" w:cs="Calibri"/>
                <w:bCs/>
                <w:lang w:val="fr-CA"/>
              </w:rPr>
              <w:t xml:space="preserve">» par </w:t>
            </w:r>
            <w:r w:rsidRPr="00A92CED">
              <w:rPr>
                <w:rFonts w:cstheme="minorHAnsi"/>
                <w:bCs/>
                <w:lang w:val="fr-CA"/>
              </w:rPr>
              <w:t>« dans des contenants </w:t>
            </w:r>
            <w:r w:rsidRPr="00A92CED">
              <w:rPr>
                <w:rFonts w:ascii="Calibri" w:hAnsi="Calibri" w:cs="Calibri"/>
                <w:bCs/>
                <w:lang w:val="fr-CA"/>
              </w:rPr>
              <w:t>»</w:t>
            </w:r>
            <w:r w:rsidRPr="00A92CED">
              <w:rPr>
                <w:bCs/>
                <w:lang w:val="fr-CA"/>
              </w:rPr>
              <w:t>.</w:t>
            </w:r>
          </w:p>
        </w:tc>
        <w:tc>
          <w:tcPr>
            <w:tcW w:w="3143" w:type="dxa"/>
            <w:gridSpan w:val="2"/>
          </w:tcPr>
          <w:p w14:paraId="7B07D6CA" w14:textId="1232A336" w:rsidR="00E10233" w:rsidRPr="00A92CED" w:rsidRDefault="00E10233" w:rsidP="00817532">
            <w:pPr>
              <w:rPr>
                <w:lang w:val="fr-CA"/>
              </w:rPr>
            </w:pPr>
            <w:r w:rsidRPr="00A92CED">
              <w:rPr>
                <w:lang w:val="fr-CA"/>
              </w:rPr>
              <w:t>Cet amendement proposé vise à clarifier la terminologie utilisée dans cet alinéa afin qu’elle corresponde à la terminologie similaire utilisée à la partie 14 du Règlement.</w:t>
            </w:r>
          </w:p>
        </w:tc>
        <w:tc>
          <w:tcPr>
            <w:tcW w:w="3087" w:type="dxa"/>
          </w:tcPr>
          <w:p w14:paraId="1A0942ED" w14:textId="77777777" w:rsidR="00E10233" w:rsidRPr="00A92CED" w:rsidRDefault="00E10233" w:rsidP="00817532">
            <w:pPr>
              <w:rPr>
                <w:lang w:val="fr-CA"/>
              </w:rPr>
            </w:pPr>
          </w:p>
        </w:tc>
      </w:tr>
      <w:tr w:rsidR="00A92CED" w:rsidRPr="00A92CED" w14:paraId="10F13DAA" w14:textId="70594D25" w:rsidTr="00E10233">
        <w:tc>
          <w:tcPr>
            <w:tcW w:w="3126" w:type="dxa"/>
          </w:tcPr>
          <w:p w14:paraId="607C9237" w14:textId="77777777" w:rsidR="00E10233" w:rsidRPr="00A92CED" w:rsidRDefault="00E10233">
            <w:pPr>
              <w:pStyle w:val="ListParagraph"/>
              <w:numPr>
                <w:ilvl w:val="0"/>
                <w:numId w:val="1"/>
              </w:numPr>
              <w:jc w:val="center"/>
              <w:rPr>
                <w:lang w:val="fr-CA"/>
              </w:rPr>
            </w:pPr>
          </w:p>
        </w:tc>
        <w:tc>
          <w:tcPr>
            <w:tcW w:w="3715" w:type="dxa"/>
          </w:tcPr>
          <w:p w14:paraId="14DE3FB6" w14:textId="5B5846F4" w:rsidR="00E10233" w:rsidRPr="00A92CED" w:rsidRDefault="00E10233" w:rsidP="00521BAD">
            <w:pPr>
              <w:rPr>
                <w:rFonts w:ascii="Calibri" w:hAnsi="Calibri" w:cs="Calibri"/>
                <w:lang w:val="fr-CA"/>
              </w:rPr>
            </w:pPr>
            <w:r w:rsidRPr="00A92CED">
              <w:rPr>
                <w:rFonts w:ascii="Calibri" w:hAnsi="Calibri" w:cs="Calibri"/>
                <w:b/>
                <w:bCs/>
                <w:lang w:val="fr-CA"/>
              </w:rPr>
              <w:t xml:space="preserve">107 </w:t>
            </w:r>
            <w:r w:rsidRPr="00A92CED">
              <w:rPr>
                <w:rFonts w:ascii="Calibri" w:hAnsi="Calibri" w:cs="Calibri"/>
                <w:lang w:val="fr-CA"/>
              </w:rPr>
              <w:t>(1)</w:t>
            </w:r>
            <w:r w:rsidRPr="00A92CED">
              <w:rPr>
                <w:rFonts w:ascii="Calibri" w:hAnsi="Calibri" w:cs="Calibri"/>
                <w:b/>
                <w:bCs/>
                <w:lang w:val="fr-CA"/>
              </w:rPr>
              <w:t xml:space="preserve"> </w:t>
            </w:r>
            <w:r w:rsidRPr="00A92CED">
              <w:rPr>
                <w:rFonts w:ascii="Calibri" w:hAnsi="Calibri" w:cs="Calibri"/>
                <w:lang w:val="fr-CA"/>
              </w:rPr>
              <w:t>Le titulaire d’une licence de fabrique de la section 2 ou d’un certificat de fabrication peut effectuer celles des activités ci-après qui sont précisées dans sa licence ou dans son certificat, à un lieu de travail qui y est également précisé :</w:t>
            </w:r>
          </w:p>
          <w:p w14:paraId="260230F5" w14:textId="34679C6B" w:rsidR="00E10233" w:rsidRPr="00A92CED" w:rsidRDefault="00E10233" w:rsidP="00521BAD">
            <w:pPr>
              <w:ind w:left="720"/>
              <w:rPr>
                <w:b/>
                <w:lang w:val="fr-CA"/>
              </w:rPr>
            </w:pPr>
            <w:r w:rsidRPr="00A92CED">
              <w:rPr>
                <w:rFonts w:ascii="Calibri" w:hAnsi="Calibri" w:cs="Calibri"/>
                <w:lang w:val="fr-CA"/>
              </w:rPr>
              <w:t>b)</w:t>
            </w:r>
            <w:r w:rsidRPr="00A92CED">
              <w:rPr>
                <w:rFonts w:ascii="Calibri" w:hAnsi="Calibri" w:cs="Calibri"/>
                <w:b/>
                <w:bCs/>
                <w:lang w:val="fr-CA"/>
              </w:rPr>
              <w:t xml:space="preserve"> </w:t>
            </w:r>
            <w:r w:rsidRPr="00A92CED">
              <w:rPr>
                <w:rFonts w:ascii="Calibri" w:hAnsi="Calibri" w:cs="Calibri"/>
                <w:lang w:val="fr-CA"/>
              </w:rPr>
              <w:t>la fabrication de *cartouches pour armes de petit calibre à des fins de vente, le stockage d’au plus 225 kg d’*explosifs contenus dans les cartouches et d’au plus 75 kg de poudre propulsive en vrac qui sera utilisée pour la fabrication de ces cartouches;</w:t>
            </w:r>
          </w:p>
        </w:tc>
        <w:tc>
          <w:tcPr>
            <w:tcW w:w="4076" w:type="dxa"/>
          </w:tcPr>
          <w:p w14:paraId="3D1CECD6" w14:textId="43A3E5B7" w:rsidR="00E10233" w:rsidRPr="00A92CED" w:rsidRDefault="00E10233" w:rsidP="00817532">
            <w:pPr>
              <w:rPr>
                <w:lang w:val="fr-CA"/>
              </w:rPr>
            </w:pPr>
            <w:r w:rsidRPr="00A92CED">
              <w:rPr>
                <w:bCs/>
                <w:lang w:val="fr-CA"/>
              </w:rPr>
              <w:t xml:space="preserve">Modifier l’alinéa 107(1)b) pour remplacer </w:t>
            </w:r>
            <w:r w:rsidRPr="00A92CED">
              <w:rPr>
                <w:rFonts w:cstheme="minorHAnsi"/>
                <w:bCs/>
                <w:lang w:val="fr-CA"/>
              </w:rPr>
              <w:t>« la fabrication de cartouches pour armes de petit calibre à des fins de vente </w:t>
            </w:r>
            <w:r w:rsidRPr="00A92CED">
              <w:rPr>
                <w:rFonts w:ascii="Calibri" w:hAnsi="Calibri" w:cs="Calibri"/>
                <w:bCs/>
                <w:lang w:val="fr-CA"/>
              </w:rPr>
              <w:t xml:space="preserve">» par </w:t>
            </w:r>
            <w:r w:rsidRPr="00A92CED">
              <w:rPr>
                <w:rFonts w:cstheme="minorHAnsi"/>
                <w:bCs/>
                <w:lang w:val="fr-CA"/>
              </w:rPr>
              <w:t>« la fabrication de cartouches pour armes de petit calibre à des fins de vente, y compris celles autorisées comme explosifs de type D </w:t>
            </w:r>
            <w:r w:rsidRPr="00A92CED">
              <w:rPr>
                <w:rFonts w:ascii="Calibri" w:hAnsi="Calibri" w:cs="Calibri"/>
                <w:bCs/>
                <w:lang w:val="fr-CA"/>
              </w:rPr>
              <w:t>».</w:t>
            </w:r>
          </w:p>
        </w:tc>
        <w:tc>
          <w:tcPr>
            <w:tcW w:w="3143" w:type="dxa"/>
            <w:gridSpan w:val="2"/>
          </w:tcPr>
          <w:p w14:paraId="19B6B2AC" w14:textId="009A367D" w:rsidR="00E10233" w:rsidRPr="00A92CED" w:rsidRDefault="00E10233" w:rsidP="00E10233">
            <w:pPr>
              <w:rPr>
                <w:lang w:val="fr-CA"/>
              </w:rPr>
            </w:pPr>
            <w:r w:rsidRPr="00A92CED">
              <w:rPr>
                <w:lang w:val="fr-CA"/>
              </w:rPr>
              <w:t xml:space="preserve">Cet amendement proposé vise à préciser que toutes les </w:t>
            </w:r>
            <w:r w:rsidRPr="00A92CED">
              <w:rPr>
                <w:lang w:val="fr-CA"/>
              </w:rPr>
              <w:t>les cartouches d’armes légères</w:t>
            </w:r>
            <w:r w:rsidRPr="00A92CED">
              <w:rPr>
                <w:lang w:val="fr-CA"/>
              </w:rPr>
              <w:t xml:space="preserve"> qui sont des explosifs de type D sont assujetties à la section 2 de la partie 5 du Règlement.</w:t>
            </w:r>
          </w:p>
        </w:tc>
        <w:tc>
          <w:tcPr>
            <w:tcW w:w="3087" w:type="dxa"/>
          </w:tcPr>
          <w:p w14:paraId="2CF1767C" w14:textId="77777777" w:rsidR="00E10233" w:rsidRPr="00A92CED" w:rsidRDefault="00E10233" w:rsidP="00817532">
            <w:pPr>
              <w:rPr>
                <w:lang w:val="fr-CA"/>
              </w:rPr>
            </w:pPr>
          </w:p>
        </w:tc>
      </w:tr>
      <w:tr w:rsidR="00A92CED" w:rsidRPr="00A92CED" w14:paraId="704D68F3" w14:textId="465B3835" w:rsidTr="00E10233">
        <w:tc>
          <w:tcPr>
            <w:tcW w:w="3126" w:type="dxa"/>
          </w:tcPr>
          <w:p w14:paraId="560965F9" w14:textId="77777777" w:rsidR="00E10233" w:rsidRPr="00A92CED" w:rsidRDefault="00E10233">
            <w:pPr>
              <w:pStyle w:val="ListParagraph"/>
              <w:numPr>
                <w:ilvl w:val="0"/>
                <w:numId w:val="1"/>
              </w:numPr>
              <w:jc w:val="center"/>
              <w:rPr>
                <w:lang w:val="fr-CA"/>
              </w:rPr>
            </w:pPr>
          </w:p>
        </w:tc>
        <w:tc>
          <w:tcPr>
            <w:tcW w:w="3715" w:type="dxa"/>
          </w:tcPr>
          <w:p w14:paraId="39161032" w14:textId="024378D0" w:rsidR="00E10233" w:rsidRPr="00A92CED" w:rsidRDefault="00E10233" w:rsidP="00C90D57">
            <w:pPr>
              <w:rPr>
                <w:rFonts w:ascii="Calibri" w:hAnsi="Calibri" w:cs="Calibri"/>
                <w:lang w:val="fr-CA"/>
              </w:rPr>
            </w:pPr>
            <w:r w:rsidRPr="00A92CED">
              <w:rPr>
                <w:rFonts w:ascii="Calibri" w:hAnsi="Calibri" w:cs="Calibri"/>
                <w:b/>
                <w:bCs/>
                <w:lang w:val="fr-CA"/>
              </w:rPr>
              <w:t xml:space="preserve">107 </w:t>
            </w:r>
            <w:r w:rsidRPr="00A92CED">
              <w:rPr>
                <w:rFonts w:ascii="Calibri" w:hAnsi="Calibri" w:cs="Calibri"/>
                <w:lang w:val="fr-CA"/>
              </w:rPr>
              <w:t>(1)</w:t>
            </w:r>
            <w:r w:rsidRPr="00A92CED">
              <w:rPr>
                <w:rFonts w:ascii="Calibri" w:hAnsi="Calibri" w:cs="Calibri"/>
                <w:b/>
                <w:bCs/>
                <w:lang w:val="fr-CA"/>
              </w:rPr>
              <w:t xml:space="preserve"> </w:t>
            </w:r>
            <w:r w:rsidRPr="00A92CED">
              <w:rPr>
                <w:rFonts w:ascii="Calibri" w:hAnsi="Calibri" w:cs="Calibri"/>
                <w:lang w:val="fr-CA"/>
              </w:rPr>
              <w:t>Le titulaire d’une licence de fabrique de la section 2 ou d’un certificat de fabrication peut effectuer celles des activités ci-après qui sont précisées dans sa licence ou dans son certificat, à un lieu de travail qui y est également précisé :</w:t>
            </w:r>
          </w:p>
          <w:p w14:paraId="4199DD18" w14:textId="34CCEF00" w:rsidR="00E10233" w:rsidRPr="00A92CED" w:rsidRDefault="00E10233" w:rsidP="00C90D57">
            <w:pPr>
              <w:ind w:left="720"/>
              <w:rPr>
                <w:rFonts w:ascii="Calibri" w:hAnsi="Calibri" w:cs="Calibri"/>
                <w:b/>
                <w:lang w:val="fr-CA"/>
              </w:rPr>
            </w:pPr>
            <w:r w:rsidRPr="00A92CED">
              <w:rPr>
                <w:rFonts w:ascii="Calibri" w:hAnsi="Calibri" w:cs="Calibri"/>
                <w:lang w:val="fr-CA"/>
              </w:rPr>
              <w:lastRenderedPageBreak/>
              <w:t>i)</w:t>
            </w:r>
            <w:r w:rsidRPr="00A92CED">
              <w:rPr>
                <w:rFonts w:ascii="Calibri" w:hAnsi="Calibri" w:cs="Calibri"/>
                <w:b/>
                <w:bCs/>
                <w:lang w:val="fr-CA"/>
              </w:rPr>
              <w:t xml:space="preserve"> </w:t>
            </w:r>
            <w:r w:rsidRPr="00A92CED">
              <w:rPr>
                <w:rFonts w:ascii="Calibri" w:hAnsi="Calibri" w:cs="Calibri"/>
                <w:lang w:val="fr-CA"/>
              </w:rPr>
              <w:t>la préparation et le stockage de pièces pyrotechniques à grand déploiement dans un lieu autre que celui du spectacle pyrotechnique;</w:t>
            </w:r>
          </w:p>
        </w:tc>
        <w:tc>
          <w:tcPr>
            <w:tcW w:w="4076" w:type="dxa"/>
          </w:tcPr>
          <w:p w14:paraId="46C3C12D" w14:textId="179E7CF0" w:rsidR="00E10233" w:rsidRPr="00A92CED" w:rsidRDefault="00E10233" w:rsidP="00E10233">
            <w:pPr>
              <w:rPr>
                <w:lang w:val="fr-CA"/>
              </w:rPr>
            </w:pPr>
            <w:r w:rsidRPr="00A92CED">
              <w:rPr>
                <w:bCs/>
                <w:lang w:val="fr-CA"/>
              </w:rPr>
              <w:lastRenderedPageBreak/>
              <w:t xml:space="preserve">Modifier l’alinéa 107(1)i) pour remplacer </w:t>
            </w:r>
            <w:r w:rsidRPr="00A92CED">
              <w:rPr>
                <w:rFonts w:cstheme="minorHAnsi"/>
                <w:bCs/>
                <w:lang w:val="fr-CA"/>
              </w:rPr>
              <w:t>« la préparation et le stockage </w:t>
            </w:r>
            <w:r w:rsidRPr="00A92CED">
              <w:rPr>
                <w:rFonts w:ascii="Calibri" w:hAnsi="Calibri" w:cs="Calibri"/>
                <w:bCs/>
                <w:lang w:val="fr-CA"/>
              </w:rPr>
              <w:t xml:space="preserve">» par </w:t>
            </w:r>
            <w:r w:rsidRPr="00A92CED">
              <w:rPr>
                <w:rFonts w:cstheme="minorHAnsi"/>
                <w:bCs/>
                <w:lang w:val="fr-CA"/>
              </w:rPr>
              <w:t>« l’assemblage, l’emballage et le stockage </w:t>
            </w:r>
            <w:r w:rsidRPr="00A92CED">
              <w:rPr>
                <w:rFonts w:ascii="Calibri" w:hAnsi="Calibri" w:cs="Calibri"/>
                <w:bCs/>
                <w:lang w:val="fr-CA"/>
              </w:rPr>
              <w:t>».</w:t>
            </w:r>
          </w:p>
        </w:tc>
        <w:tc>
          <w:tcPr>
            <w:tcW w:w="3143" w:type="dxa"/>
            <w:gridSpan w:val="2"/>
          </w:tcPr>
          <w:p w14:paraId="5ED6C4EC" w14:textId="0362CDCC" w:rsidR="00E10233" w:rsidRPr="00A92CED" w:rsidRDefault="00E10233" w:rsidP="00817532">
            <w:pPr>
              <w:rPr>
                <w:lang w:val="fr-CA"/>
              </w:rPr>
            </w:pPr>
            <w:r w:rsidRPr="00A92CED">
              <w:rPr>
                <w:lang w:val="fr-CA"/>
              </w:rPr>
              <w:t xml:space="preserve">Cet amendement proposé vise à préciser les activités liées aux pièces pyrotechniques à grand déploiement qui peuvent être effectuées dans un lieu autre que celui du spectacle pyrotechnique par le titulaire d’une licence de fabrique de la </w:t>
            </w:r>
            <w:r w:rsidRPr="00A92CED">
              <w:rPr>
                <w:lang w:val="fr-CA"/>
              </w:rPr>
              <w:lastRenderedPageBreak/>
              <w:t>section 2 ou d’un certificat de fabrication.</w:t>
            </w:r>
          </w:p>
        </w:tc>
        <w:tc>
          <w:tcPr>
            <w:tcW w:w="3087" w:type="dxa"/>
          </w:tcPr>
          <w:p w14:paraId="348815D5" w14:textId="77777777" w:rsidR="00E10233" w:rsidRPr="00A92CED" w:rsidRDefault="00E10233" w:rsidP="00817532">
            <w:pPr>
              <w:rPr>
                <w:lang w:val="fr-CA"/>
              </w:rPr>
            </w:pPr>
          </w:p>
        </w:tc>
      </w:tr>
      <w:tr w:rsidR="00A92CED" w:rsidRPr="00A92CED" w14:paraId="1FB66EB9" w14:textId="63BA5848" w:rsidTr="00E10233">
        <w:tc>
          <w:tcPr>
            <w:tcW w:w="3126" w:type="dxa"/>
          </w:tcPr>
          <w:p w14:paraId="14E45E43" w14:textId="77777777" w:rsidR="00E10233" w:rsidRPr="00A92CED" w:rsidRDefault="00E10233">
            <w:pPr>
              <w:pStyle w:val="ListParagraph"/>
              <w:numPr>
                <w:ilvl w:val="0"/>
                <w:numId w:val="1"/>
              </w:numPr>
              <w:jc w:val="center"/>
              <w:rPr>
                <w:lang w:val="fr-CA"/>
              </w:rPr>
            </w:pPr>
          </w:p>
        </w:tc>
        <w:tc>
          <w:tcPr>
            <w:tcW w:w="3715" w:type="dxa"/>
          </w:tcPr>
          <w:p w14:paraId="715377A3" w14:textId="517839E0" w:rsidR="00E10233" w:rsidRPr="00A92CED" w:rsidRDefault="00E10233" w:rsidP="00B91151">
            <w:pPr>
              <w:rPr>
                <w:rFonts w:ascii="Calibri" w:hAnsi="Calibri" w:cs="Calibri"/>
                <w:lang w:val="fr-CA"/>
              </w:rPr>
            </w:pPr>
            <w:r w:rsidRPr="00A92CED">
              <w:rPr>
                <w:rFonts w:ascii="Calibri" w:hAnsi="Calibri" w:cs="Calibri"/>
                <w:b/>
                <w:bCs/>
                <w:lang w:val="fr-CA"/>
              </w:rPr>
              <w:t xml:space="preserve">107 </w:t>
            </w:r>
            <w:r w:rsidRPr="00A92CED">
              <w:rPr>
                <w:rFonts w:ascii="Calibri" w:hAnsi="Calibri" w:cs="Calibri"/>
                <w:lang w:val="fr-CA"/>
              </w:rPr>
              <w:t>(1)</w:t>
            </w:r>
            <w:r w:rsidRPr="00A92CED">
              <w:rPr>
                <w:rFonts w:ascii="Calibri" w:hAnsi="Calibri" w:cs="Calibri"/>
                <w:b/>
                <w:bCs/>
                <w:lang w:val="fr-CA"/>
              </w:rPr>
              <w:t xml:space="preserve"> </w:t>
            </w:r>
            <w:r w:rsidRPr="00A92CED">
              <w:rPr>
                <w:rFonts w:ascii="Calibri" w:hAnsi="Calibri" w:cs="Calibri"/>
                <w:lang w:val="fr-CA"/>
              </w:rPr>
              <w:t>Le titulaire d’une licence de fabrique de la section 2 ou d’un certificat de fabrication peut effectuer celles des activités ci-après qui sont précisées dans sa licence ou dans son certificat, à un lieu de travail qui y est également précisé :</w:t>
            </w:r>
          </w:p>
          <w:p w14:paraId="1800F880" w14:textId="16561D74" w:rsidR="00E10233" w:rsidRPr="00A92CED" w:rsidRDefault="00E10233" w:rsidP="00C90D57">
            <w:pPr>
              <w:ind w:left="720"/>
              <w:rPr>
                <w:rFonts w:ascii="Calibri" w:hAnsi="Calibri" w:cs="Calibri"/>
                <w:b/>
                <w:lang w:val="fr-CA"/>
              </w:rPr>
            </w:pPr>
            <w:r w:rsidRPr="00A92CED">
              <w:rPr>
                <w:rFonts w:ascii="Calibri" w:hAnsi="Calibri" w:cs="Calibri"/>
                <w:lang w:val="fr-CA"/>
              </w:rPr>
              <w:t>j)</w:t>
            </w:r>
            <w:r w:rsidRPr="00A92CED">
              <w:rPr>
                <w:rFonts w:ascii="Calibri" w:hAnsi="Calibri" w:cs="Calibri"/>
                <w:b/>
                <w:bCs/>
                <w:lang w:val="fr-CA"/>
              </w:rPr>
              <w:t xml:space="preserve"> </w:t>
            </w:r>
            <w:r w:rsidRPr="00A92CED">
              <w:rPr>
                <w:rFonts w:ascii="Calibri" w:hAnsi="Calibri" w:cs="Calibri"/>
                <w:lang w:val="fr-CA"/>
              </w:rPr>
              <w:t>le mélange de composants non explosifs pour fabriquer des *explosifs industriels au lieu où ils seront utilisés;</w:t>
            </w:r>
          </w:p>
        </w:tc>
        <w:tc>
          <w:tcPr>
            <w:tcW w:w="4076" w:type="dxa"/>
          </w:tcPr>
          <w:p w14:paraId="0272BC8C" w14:textId="5A6639AE" w:rsidR="00E10233" w:rsidRPr="00A92CED" w:rsidRDefault="00E10233" w:rsidP="00D07B04">
            <w:pPr>
              <w:rPr>
                <w:lang w:val="fr-CA"/>
              </w:rPr>
            </w:pPr>
            <w:r w:rsidRPr="00A92CED">
              <w:rPr>
                <w:lang w:val="fr-CA"/>
              </w:rPr>
              <w:t xml:space="preserve">Modifier l’alinéa 107(1)j) pour préciser que le titulaire d’une licence de fabrique de la section 2 ou d’un certificat de fabrication peut effectuer </w:t>
            </w:r>
            <w:r w:rsidRPr="00A92CED">
              <w:rPr>
                <w:rFonts w:ascii="Calibri" w:hAnsi="Calibri" w:cs="Calibri"/>
                <w:lang w:val="fr-CA"/>
              </w:rPr>
              <w:t>celles des activités ci-après qui sont précisées dans sa licence ou dans son certificat, à un lieu de travail qui y est également précisé :</w:t>
            </w:r>
          </w:p>
          <w:p w14:paraId="7849F6E7" w14:textId="362BD024" w:rsidR="00E10233" w:rsidRPr="00A92CED" w:rsidRDefault="00E10233" w:rsidP="001E26FD">
            <w:pPr>
              <w:pStyle w:val="ListParagraph"/>
              <w:numPr>
                <w:ilvl w:val="0"/>
                <w:numId w:val="4"/>
              </w:numPr>
              <w:rPr>
                <w:lang w:val="fr-CA"/>
              </w:rPr>
            </w:pPr>
            <w:r w:rsidRPr="00A92CED">
              <w:rPr>
                <w:lang w:val="fr-CA"/>
              </w:rPr>
              <w:t>le mélange non mécanique de composants non explosifs pour fabriquer des explosifs industriels au lieu où ils seront utilisés, y compris le mélange de nitrate d’ammonium et de fuel-oil, et le stockage de ces produits une fois mélangés.</w:t>
            </w:r>
          </w:p>
        </w:tc>
        <w:tc>
          <w:tcPr>
            <w:tcW w:w="3143" w:type="dxa"/>
            <w:gridSpan w:val="2"/>
          </w:tcPr>
          <w:p w14:paraId="4891E2CB" w14:textId="617B40A9" w:rsidR="00E10233" w:rsidRPr="00A92CED" w:rsidRDefault="00E10233" w:rsidP="00817532">
            <w:pPr>
              <w:rPr>
                <w:lang w:val="fr-CA"/>
              </w:rPr>
            </w:pPr>
            <w:r w:rsidRPr="00A92CED">
              <w:rPr>
                <w:lang w:val="fr-CA"/>
              </w:rPr>
              <w:t>Cet amendement proposé vise à préciser les activités liées au mélange de composants non explosifs que le titulaire d’une licence de fabrique de la section 2 ou d’un certificat de fabrication est autorisé à effectuer.</w:t>
            </w:r>
          </w:p>
        </w:tc>
        <w:tc>
          <w:tcPr>
            <w:tcW w:w="3087" w:type="dxa"/>
          </w:tcPr>
          <w:p w14:paraId="7ED99C11" w14:textId="77777777" w:rsidR="00E10233" w:rsidRPr="00A92CED" w:rsidRDefault="00E10233" w:rsidP="00817532">
            <w:pPr>
              <w:rPr>
                <w:lang w:val="fr-CA"/>
              </w:rPr>
            </w:pPr>
          </w:p>
        </w:tc>
      </w:tr>
      <w:tr w:rsidR="00A92CED" w:rsidRPr="00A92CED" w14:paraId="018AEB87" w14:textId="7D45372D" w:rsidTr="00E10233">
        <w:tc>
          <w:tcPr>
            <w:tcW w:w="3126" w:type="dxa"/>
          </w:tcPr>
          <w:p w14:paraId="53BC3555" w14:textId="77777777" w:rsidR="00E10233" w:rsidRPr="00A92CED" w:rsidRDefault="00E10233">
            <w:pPr>
              <w:pStyle w:val="ListParagraph"/>
              <w:numPr>
                <w:ilvl w:val="0"/>
                <w:numId w:val="1"/>
              </w:numPr>
              <w:jc w:val="center"/>
              <w:rPr>
                <w:lang w:val="fr-CA"/>
              </w:rPr>
            </w:pPr>
          </w:p>
        </w:tc>
        <w:tc>
          <w:tcPr>
            <w:tcW w:w="3715" w:type="dxa"/>
          </w:tcPr>
          <w:p w14:paraId="2A219EAE" w14:textId="03E7B67F" w:rsidR="00E10233" w:rsidRPr="00A92CED" w:rsidRDefault="00E10233" w:rsidP="00B91151">
            <w:pPr>
              <w:rPr>
                <w:rFonts w:ascii="Calibri" w:hAnsi="Calibri" w:cs="Calibri"/>
                <w:lang w:val="fr-CA"/>
              </w:rPr>
            </w:pPr>
            <w:r w:rsidRPr="00A92CED">
              <w:rPr>
                <w:rFonts w:ascii="Calibri" w:hAnsi="Calibri" w:cs="Calibri"/>
                <w:b/>
                <w:bCs/>
                <w:lang w:val="fr-CA"/>
              </w:rPr>
              <w:t xml:space="preserve">107 </w:t>
            </w:r>
            <w:r w:rsidRPr="00A92CED">
              <w:rPr>
                <w:rFonts w:ascii="Calibri" w:hAnsi="Calibri" w:cs="Calibri"/>
                <w:lang w:val="fr-CA"/>
              </w:rPr>
              <w:t>(1)</w:t>
            </w:r>
            <w:r w:rsidRPr="00A92CED">
              <w:rPr>
                <w:rFonts w:ascii="Calibri" w:hAnsi="Calibri" w:cs="Calibri"/>
                <w:b/>
                <w:bCs/>
                <w:lang w:val="fr-CA"/>
              </w:rPr>
              <w:t xml:space="preserve"> </w:t>
            </w:r>
            <w:r w:rsidRPr="00A92CED">
              <w:rPr>
                <w:rFonts w:ascii="Calibri" w:hAnsi="Calibri" w:cs="Calibri"/>
                <w:lang w:val="fr-CA"/>
              </w:rPr>
              <w:t>Le titulaire d’une licence de fabrique de la section 2 ou d’un certificat de fabrication peut effectuer celles des activités ci-après qui sont précisées dans sa licence ou dans son certificat, à un lieu de travail qui y est également précisé :</w:t>
            </w:r>
          </w:p>
          <w:p w14:paraId="7656D551" w14:textId="21C3FC93" w:rsidR="00E10233" w:rsidRPr="00A92CED" w:rsidRDefault="00E10233" w:rsidP="00B91151">
            <w:pPr>
              <w:ind w:left="720"/>
              <w:rPr>
                <w:rFonts w:ascii="Calibri" w:hAnsi="Calibri" w:cs="Calibri"/>
                <w:b/>
                <w:lang w:val="fr-CA"/>
              </w:rPr>
            </w:pPr>
            <w:r w:rsidRPr="00A92CED">
              <w:rPr>
                <w:rFonts w:ascii="Calibri" w:hAnsi="Calibri" w:cs="Calibri"/>
                <w:lang w:val="fr-CA"/>
              </w:rPr>
              <w:t>k) la préparation et l’emballage d’assortiments d’explosifs à des fins de vente par une personne autre que le titulaire d’une licence de poudrière (vendeur);</w:t>
            </w:r>
          </w:p>
        </w:tc>
        <w:tc>
          <w:tcPr>
            <w:tcW w:w="4076" w:type="dxa"/>
          </w:tcPr>
          <w:p w14:paraId="7C4283A7" w14:textId="5820E2B8" w:rsidR="00E10233" w:rsidRPr="00A92CED" w:rsidRDefault="00E10233" w:rsidP="00817532">
            <w:pPr>
              <w:rPr>
                <w:lang w:val="fr-CA"/>
              </w:rPr>
            </w:pPr>
            <w:r w:rsidRPr="00A92CED">
              <w:rPr>
                <w:bCs/>
                <w:lang w:val="fr-CA"/>
              </w:rPr>
              <w:t>Modifier le paragraphe 107(1) pour supprimer l’alinéa k).</w:t>
            </w:r>
          </w:p>
        </w:tc>
        <w:tc>
          <w:tcPr>
            <w:tcW w:w="3143" w:type="dxa"/>
            <w:gridSpan w:val="2"/>
          </w:tcPr>
          <w:p w14:paraId="1EC187FE" w14:textId="0176DF0A" w:rsidR="00E10233" w:rsidRPr="00A92CED" w:rsidRDefault="00E10233" w:rsidP="00817532">
            <w:pPr>
              <w:rPr>
                <w:lang w:val="fr-CA"/>
              </w:rPr>
            </w:pPr>
            <w:r w:rsidRPr="00A92CED">
              <w:rPr>
                <w:lang w:val="fr-CA"/>
              </w:rPr>
              <w:t>Cet amendement proposé vise à supprimer des passages inutiles et obsolètes du Règlement.</w:t>
            </w:r>
          </w:p>
        </w:tc>
        <w:tc>
          <w:tcPr>
            <w:tcW w:w="3087" w:type="dxa"/>
          </w:tcPr>
          <w:p w14:paraId="6362B50D" w14:textId="77777777" w:rsidR="00E10233" w:rsidRPr="00A92CED" w:rsidRDefault="00E10233" w:rsidP="00817532">
            <w:pPr>
              <w:rPr>
                <w:lang w:val="fr-CA"/>
              </w:rPr>
            </w:pPr>
          </w:p>
        </w:tc>
      </w:tr>
      <w:tr w:rsidR="00A92CED" w:rsidRPr="00A92CED" w14:paraId="75A8BE0D" w14:textId="5CC8AFBA" w:rsidTr="00E10233">
        <w:tc>
          <w:tcPr>
            <w:tcW w:w="3126" w:type="dxa"/>
          </w:tcPr>
          <w:p w14:paraId="78219F29" w14:textId="77777777" w:rsidR="00E10233" w:rsidRPr="00A92CED" w:rsidRDefault="00E10233">
            <w:pPr>
              <w:pStyle w:val="ListParagraph"/>
              <w:numPr>
                <w:ilvl w:val="0"/>
                <w:numId w:val="1"/>
              </w:numPr>
              <w:jc w:val="center"/>
              <w:rPr>
                <w:lang w:val="fr-CA"/>
              </w:rPr>
            </w:pPr>
          </w:p>
        </w:tc>
        <w:tc>
          <w:tcPr>
            <w:tcW w:w="3715" w:type="dxa"/>
          </w:tcPr>
          <w:p w14:paraId="66D1336E" w14:textId="5F144C3E" w:rsidR="00E10233" w:rsidRPr="00A92CED" w:rsidRDefault="00E10233" w:rsidP="00B91151">
            <w:pPr>
              <w:rPr>
                <w:rFonts w:ascii="Calibri" w:hAnsi="Calibri" w:cs="Calibri"/>
                <w:lang w:val="fr-CA"/>
              </w:rPr>
            </w:pPr>
            <w:r w:rsidRPr="00A92CED">
              <w:rPr>
                <w:rFonts w:ascii="Calibri" w:hAnsi="Calibri" w:cs="Calibri"/>
                <w:b/>
                <w:bCs/>
                <w:lang w:val="fr-CA"/>
              </w:rPr>
              <w:t xml:space="preserve">107 </w:t>
            </w:r>
            <w:r w:rsidRPr="00A92CED">
              <w:rPr>
                <w:rFonts w:ascii="Calibri" w:hAnsi="Calibri" w:cs="Calibri"/>
                <w:lang w:val="fr-CA"/>
              </w:rPr>
              <w:t>(1)</w:t>
            </w:r>
            <w:r w:rsidRPr="00A92CED">
              <w:rPr>
                <w:rFonts w:ascii="Calibri" w:hAnsi="Calibri" w:cs="Calibri"/>
                <w:b/>
                <w:bCs/>
                <w:lang w:val="fr-CA"/>
              </w:rPr>
              <w:t xml:space="preserve"> </w:t>
            </w:r>
            <w:r w:rsidRPr="00A92CED">
              <w:rPr>
                <w:rFonts w:ascii="Calibri" w:hAnsi="Calibri" w:cs="Calibri"/>
                <w:lang w:val="fr-CA"/>
              </w:rPr>
              <w:t>Le titulaire d’une licence de fabrique de la section 2 ou d’un certificat de fabrication peut effectuer celles des activités ci-après qui sont précisées dans sa licence ou dans son certificat, à un lieu de travail qui y est également précisé :</w:t>
            </w:r>
          </w:p>
          <w:p w14:paraId="3CE3DF41" w14:textId="7190C3FA" w:rsidR="00E10233" w:rsidRPr="00A92CED" w:rsidRDefault="00E10233" w:rsidP="00B91151">
            <w:pPr>
              <w:ind w:left="720"/>
              <w:rPr>
                <w:b/>
                <w:lang w:val="fr-CA"/>
              </w:rPr>
            </w:pPr>
            <w:r w:rsidRPr="00A92CED">
              <w:rPr>
                <w:rFonts w:ascii="Calibri" w:hAnsi="Calibri" w:cs="Calibri"/>
                <w:lang w:val="fr-CA"/>
              </w:rPr>
              <w:t>l)</w:t>
            </w:r>
            <w:r w:rsidRPr="00A92CED">
              <w:rPr>
                <w:rFonts w:ascii="Calibri" w:hAnsi="Calibri" w:cs="Calibri"/>
                <w:b/>
                <w:bCs/>
                <w:lang w:val="fr-CA"/>
              </w:rPr>
              <w:t xml:space="preserve"> </w:t>
            </w:r>
            <w:r w:rsidRPr="00A92CED">
              <w:rPr>
                <w:rFonts w:ascii="Calibri" w:hAnsi="Calibri" w:cs="Calibri"/>
                <w:lang w:val="fr-CA"/>
              </w:rPr>
              <w:t>toute autre activité liée à la fabrication et au stockage des explosifs (par exemple, l’assemblage de dispositifs lance-filet à des fins de vente, le réemballage d’explosifs détériorés ou la destruction d’explosifs).</w:t>
            </w:r>
          </w:p>
        </w:tc>
        <w:tc>
          <w:tcPr>
            <w:tcW w:w="4076" w:type="dxa"/>
          </w:tcPr>
          <w:p w14:paraId="0CF8A818" w14:textId="667D0D8E" w:rsidR="00E10233" w:rsidRPr="00A92CED" w:rsidRDefault="00E10233" w:rsidP="00817532">
            <w:pPr>
              <w:rPr>
                <w:lang w:val="fr-CA"/>
              </w:rPr>
            </w:pPr>
            <w:r w:rsidRPr="00A92CED">
              <w:rPr>
                <w:bCs/>
                <w:lang w:val="fr-CA"/>
              </w:rPr>
              <w:t xml:space="preserve">Modifier l’alinéa 107(1)l) pour remplacer </w:t>
            </w:r>
            <w:r w:rsidRPr="00A92CED">
              <w:rPr>
                <w:rFonts w:cstheme="minorHAnsi"/>
                <w:bCs/>
                <w:lang w:val="fr-CA"/>
              </w:rPr>
              <w:t>« </w:t>
            </w:r>
            <w:r w:rsidRPr="00A92CED">
              <w:rPr>
                <w:rFonts w:ascii="Calibri" w:hAnsi="Calibri" w:cs="Calibri"/>
                <w:lang w:val="fr-CA"/>
              </w:rPr>
              <w:t>à la fabrication et au stockage des explosifs (par exemple, l’assemblage de dispositifs lance-filet à des fins de vente, le réemballage d’explosifs détériorés ou la destruction d’explosifs) </w:t>
            </w:r>
            <w:r w:rsidRPr="00A92CED">
              <w:rPr>
                <w:rFonts w:ascii="Calibri" w:hAnsi="Calibri" w:cs="Calibri"/>
                <w:bCs/>
                <w:lang w:val="fr-CA"/>
              </w:rPr>
              <w:t xml:space="preserve">» par </w:t>
            </w:r>
            <w:r w:rsidRPr="00A92CED">
              <w:rPr>
                <w:rFonts w:cstheme="minorHAnsi"/>
                <w:bCs/>
                <w:lang w:val="fr-CA"/>
              </w:rPr>
              <w:t xml:space="preserve">« au réemballage d’explosifs détériorés ou à la destruction d’explosifs </w:t>
            </w:r>
            <w:r w:rsidRPr="00A92CED">
              <w:rPr>
                <w:rFonts w:ascii="Calibri" w:hAnsi="Calibri" w:cs="Calibri"/>
                <w:lang w:val="fr-CA"/>
              </w:rPr>
              <w:t>autres que les explosifs de type D, E ou I.</w:t>
            </w:r>
            <w:r w:rsidRPr="00A92CED">
              <w:rPr>
                <w:rFonts w:cstheme="minorHAnsi"/>
                <w:bCs/>
                <w:lang w:val="fr-CA"/>
              </w:rPr>
              <w:t> </w:t>
            </w:r>
            <w:r w:rsidRPr="00A92CED">
              <w:rPr>
                <w:rFonts w:ascii="Calibri" w:hAnsi="Calibri" w:cs="Calibri"/>
                <w:bCs/>
                <w:lang w:val="fr-CA"/>
              </w:rPr>
              <w:t>».</w:t>
            </w:r>
          </w:p>
        </w:tc>
        <w:tc>
          <w:tcPr>
            <w:tcW w:w="3143" w:type="dxa"/>
            <w:gridSpan w:val="2"/>
          </w:tcPr>
          <w:p w14:paraId="3A554E47" w14:textId="2A502A35" w:rsidR="00E10233" w:rsidRPr="00A92CED" w:rsidRDefault="00E10233" w:rsidP="00E10233">
            <w:pPr>
              <w:rPr>
                <w:lang w:val="fr-CA"/>
              </w:rPr>
            </w:pPr>
            <w:r w:rsidRPr="00A92CED">
              <w:rPr>
                <w:lang w:val="fr-CA"/>
              </w:rPr>
              <w:t xml:space="preserve">Cet amendement proposé vise à supprimer des passages inutiles et obsolètes du Règlement. </w:t>
            </w:r>
            <w:r w:rsidRPr="00A92CED">
              <w:rPr>
                <w:lang w:val="fr-CA"/>
              </w:rPr>
              <w:t>La modification proposée vise également à clarifier l’intention des licences de la section</w:t>
            </w:r>
            <w:r w:rsidRPr="00A92CED">
              <w:rPr>
                <w:lang w:val="fr-CA"/>
              </w:rPr>
              <w:t> </w:t>
            </w:r>
            <w:r w:rsidRPr="00A92CED">
              <w:rPr>
                <w:lang w:val="fr-CA"/>
              </w:rPr>
              <w:t>2.</w:t>
            </w:r>
          </w:p>
        </w:tc>
        <w:tc>
          <w:tcPr>
            <w:tcW w:w="3087" w:type="dxa"/>
          </w:tcPr>
          <w:p w14:paraId="1A0A6404" w14:textId="77777777" w:rsidR="00E10233" w:rsidRPr="00A92CED" w:rsidRDefault="00E10233" w:rsidP="00817532">
            <w:pPr>
              <w:rPr>
                <w:lang w:val="fr-CA"/>
              </w:rPr>
            </w:pPr>
          </w:p>
        </w:tc>
      </w:tr>
      <w:tr w:rsidR="00A92CED" w:rsidRPr="00A92CED" w14:paraId="5826C289" w14:textId="1BABA115" w:rsidTr="00E10233">
        <w:tc>
          <w:tcPr>
            <w:tcW w:w="3126" w:type="dxa"/>
          </w:tcPr>
          <w:p w14:paraId="66F9A1C6" w14:textId="77777777" w:rsidR="00E10233" w:rsidRPr="00A92CED" w:rsidRDefault="00E10233">
            <w:pPr>
              <w:pStyle w:val="ListParagraph"/>
              <w:numPr>
                <w:ilvl w:val="0"/>
                <w:numId w:val="1"/>
              </w:numPr>
              <w:jc w:val="center"/>
              <w:rPr>
                <w:lang w:val="fr-CA"/>
              </w:rPr>
            </w:pPr>
          </w:p>
        </w:tc>
        <w:tc>
          <w:tcPr>
            <w:tcW w:w="3715" w:type="dxa"/>
          </w:tcPr>
          <w:p w14:paraId="11C01AD3" w14:textId="16328740" w:rsidR="00E10233" w:rsidRPr="00A92CED" w:rsidRDefault="00E10233" w:rsidP="001D320A">
            <w:pPr>
              <w:rPr>
                <w:rFonts w:ascii="Calibri" w:hAnsi="Calibri" w:cs="Calibri"/>
                <w:lang w:val="fr-CA"/>
              </w:rPr>
            </w:pPr>
            <w:r w:rsidRPr="00A92CED">
              <w:rPr>
                <w:rFonts w:ascii="Calibri" w:hAnsi="Calibri" w:cs="Calibri"/>
                <w:b/>
                <w:bCs/>
                <w:lang w:val="fr-CA"/>
              </w:rPr>
              <w:t xml:space="preserve">107 </w:t>
            </w:r>
            <w:r w:rsidRPr="00A92CED">
              <w:rPr>
                <w:rFonts w:ascii="Calibri" w:hAnsi="Calibri" w:cs="Calibri"/>
                <w:lang w:val="fr-CA"/>
              </w:rPr>
              <w:t>(1)</w:t>
            </w:r>
            <w:r w:rsidRPr="00A92CED">
              <w:rPr>
                <w:rFonts w:ascii="Calibri" w:hAnsi="Calibri" w:cs="Calibri"/>
                <w:b/>
                <w:bCs/>
                <w:lang w:val="fr-CA"/>
              </w:rPr>
              <w:t xml:space="preserve"> </w:t>
            </w:r>
            <w:r w:rsidRPr="00A92CED">
              <w:rPr>
                <w:rFonts w:ascii="Calibri" w:hAnsi="Calibri" w:cs="Calibri"/>
                <w:lang w:val="fr-CA"/>
              </w:rPr>
              <w:t>Le titulaire d’une licence de fabrique de la section 2 ou d’un certificat de fabrication peut effectuer celles des activités ci-après qui sont précisées dans sa licence ou dans son certificat, à un lieu de travail qui y est également précisé :</w:t>
            </w:r>
          </w:p>
        </w:tc>
        <w:tc>
          <w:tcPr>
            <w:tcW w:w="4076" w:type="dxa"/>
          </w:tcPr>
          <w:p w14:paraId="68641C03" w14:textId="49E21634" w:rsidR="00E10233" w:rsidRPr="00A92CED" w:rsidRDefault="00E10233" w:rsidP="003064D0">
            <w:pPr>
              <w:rPr>
                <w:lang w:val="fr-CA"/>
              </w:rPr>
            </w:pPr>
            <w:r w:rsidRPr="00A92CED">
              <w:rPr>
                <w:lang w:val="fr-CA"/>
              </w:rPr>
              <w:t xml:space="preserve">Modifier le paragraphe 107(1) pour ajouter une nouvelle exigence stipulant que le titulaire d’une licence de fabrique de la section 2 ou d’un certificat de fabrication </w:t>
            </w:r>
            <w:r w:rsidRPr="00A92CED">
              <w:rPr>
                <w:rFonts w:ascii="Calibri" w:hAnsi="Calibri" w:cs="Calibri"/>
                <w:lang w:val="fr-CA"/>
              </w:rPr>
              <w:t>peut effectuer celles des activités ci-après qui sont précisées dans sa licence ou dans son certificat, à un lieu de travail qui y est également précisé :</w:t>
            </w:r>
          </w:p>
          <w:p w14:paraId="11D1C7BA" w14:textId="1D0F14F7" w:rsidR="00E10233" w:rsidRPr="00A92CED" w:rsidRDefault="00E10233" w:rsidP="003064D0">
            <w:pPr>
              <w:rPr>
                <w:lang w:val="fr-CA"/>
              </w:rPr>
            </w:pPr>
            <w:r w:rsidRPr="00A92CED">
              <w:rPr>
                <w:lang w:val="fr-CA"/>
              </w:rPr>
              <w:t>-</w:t>
            </w:r>
            <w:r w:rsidRPr="00A92CED">
              <w:rPr>
                <w:lang w:val="fr-CA"/>
              </w:rPr>
              <w:tab/>
              <w:t>La fabrication de trousses multi-ingrédients, y compris les cibles réactives</w:t>
            </w:r>
            <w:r w:rsidR="003300F2" w:rsidRPr="00A92CED">
              <w:rPr>
                <w:lang w:val="fr-CA"/>
              </w:rPr>
              <w:t>, et le stockage des trousses</w:t>
            </w:r>
            <w:r w:rsidRPr="00A92CED">
              <w:rPr>
                <w:lang w:val="fr-CA"/>
              </w:rPr>
              <w:t>.</w:t>
            </w:r>
          </w:p>
        </w:tc>
        <w:tc>
          <w:tcPr>
            <w:tcW w:w="3143" w:type="dxa"/>
            <w:gridSpan w:val="2"/>
          </w:tcPr>
          <w:p w14:paraId="37E7F174" w14:textId="4E8DFBA1" w:rsidR="00E10233" w:rsidRPr="00A92CED" w:rsidRDefault="00E10233" w:rsidP="00817532">
            <w:pPr>
              <w:rPr>
                <w:lang w:val="fr-CA"/>
              </w:rPr>
            </w:pPr>
            <w:r w:rsidRPr="00A92CED">
              <w:rPr>
                <w:lang w:val="fr-CA"/>
              </w:rPr>
              <w:t xml:space="preserve">Cet amendement proposé vise à ajouter la fabrication </w:t>
            </w:r>
            <w:r w:rsidRPr="00A92CED">
              <w:rPr>
                <w:lang w:val="fr-CA"/>
              </w:rPr>
              <w:t>et le stockage</w:t>
            </w:r>
            <w:r w:rsidRPr="00A92CED">
              <w:rPr>
                <w:lang w:val="fr-CA"/>
              </w:rPr>
              <w:t xml:space="preserve"> de cibles réactives aux activités que le titulaire d’une licence de fabrique de la section 2 ou d’un certificat de fabrication est autorisé à effectuer.</w:t>
            </w:r>
          </w:p>
        </w:tc>
        <w:tc>
          <w:tcPr>
            <w:tcW w:w="3087" w:type="dxa"/>
          </w:tcPr>
          <w:p w14:paraId="224F5BE0" w14:textId="77777777" w:rsidR="00E10233" w:rsidRPr="00A92CED" w:rsidRDefault="00E10233" w:rsidP="00817532">
            <w:pPr>
              <w:rPr>
                <w:lang w:val="fr-CA"/>
              </w:rPr>
            </w:pPr>
          </w:p>
        </w:tc>
      </w:tr>
      <w:tr w:rsidR="00A92CED" w:rsidRPr="00A92CED" w14:paraId="5134377E" w14:textId="77777777" w:rsidTr="00E10233">
        <w:tc>
          <w:tcPr>
            <w:tcW w:w="3126" w:type="dxa"/>
          </w:tcPr>
          <w:p w14:paraId="62160FCD" w14:textId="77777777" w:rsidR="003300F2" w:rsidRPr="00A92CED" w:rsidRDefault="003300F2">
            <w:pPr>
              <w:pStyle w:val="ListParagraph"/>
              <w:numPr>
                <w:ilvl w:val="0"/>
                <w:numId w:val="1"/>
              </w:numPr>
              <w:jc w:val="center"/>
              <w:rPr>
                <w:lang w:val="fr-CA"/>
              </w:rPr>
            </w:pPr>
          </w:p>
        </w:tc>
        <w:tc>
          <w:tcPr>
            <w:tcW w:w="3715" w:type="dxa"/>
          </w:tcPr>
          <w:p w14:paraId="03691068" w14:textId="20770915" w:rsidR="003300F2" w:rsidRPr="00A92CED" w:rsidRDefault="003300F2" w:rsidP="00E10233">
            <w:pPr>
              <w:rPr>
                <w:rFonts w:ascii="Calibri" w:hAnsi="Calibri" w:cs="Calibri"/>
                <w:b/>
                <w:bCs/>
                <w:lang w:val="fr-CA"/>
              </w:rPr>
            </w:pPr>
            <w:r w:rsidRPr="00A92CED">
              <w:rPr>
                <w:rFonts w:ascii="Calibri" w:hAnsi="Calibri" w:cs="Calibri"/>
                <w:b/>
                <w:bCs/>
                <w:lang w:val="fr-CA"/>
              </w:rPr>
              <w:t xml:space="preserve">108 </w:t>
            </w:r>
            <w:r w:rsidRPr="00A92CED">
              <w:rPr>
                <w:rFonts w:ascii="Calibri" w:hAnsi="Calibri" w:cs="Calibri"/>
                <w:lang w:val="fr-CA"/>
              </w:rPr>
              <w:t xml:space="preserve">(2) Le titulaire d’une licence de fabrique de la section 2 ou d’un certificat de fabrication qui autorise le stockage d’un explosif se conforme à sa licence ou à son certificat, ainsi qu’aux règles relatives au stockage prévues aux parties 10 à 18. Il n’est </w:t>
            </w:r>
            <w:r w:rsidRPr="00A92CED">
              <w:rPr>
                <w:rFonts w:ascii="Calibri" w:hAnsi="Calibri" w:cs="Calibri"/>
                <w:lang w:val="fr-CA"/>
              </w:rPr>
              <w:lastRenderedPageBreak/>
              <w:t>toutefois pas assujetti à ces règles si l’explosif est stocké au lieu de travail.</w:t>
            </w:r>
          </w:p>
        </w:tc>
        <w:tc>
          <w:tcPr>
            <w:tcW w:w="4076" w:type="dxa"/>
          </w:tcPr>
          <w:p w14:paraId="1ADECEBD" w14:textId="77777777" w:rsidR="003300F2" w:rsidRPr="00A92CED" w:rsidRDefault="003300F2" w:rsidP="00E10233">
            <w:pPr>
              <w:pStyle w:val="NoSpacing"/>
              <w:rPr>
                <w:bCs/>
                <w:lang w:val="fr-CA"/>
              </w:rPr>
            </w:pPr>
            <w:r w:rsidRPr="00A92CED">
              <w:rPr>
                <w:bCs/>
                <w:lang w:val="fr-CA"/>
              </w:rPr>
              <w:lastRenderedPageBreak/>
              <w:t>Modifier l’article 108 pour supprimer le paragraphe (2) et le remplacer par les nouvelles exigences suivantes :</w:t>
            </w:r>
          </w:p>
          <w:p w14:paraId="70ADE041" w14:textId="77777777" w:rsidR="003300F2" w:rsidRPr="00A92CED" w:rsidRDefault="003300F2" w:rsidP="00E10233">
            <w:pPr>
              <w:pStyle w:val="NoSpacing"/>
              <w:numPr>
                <w:ilvl w:val="0"/>
                <w:numId w:val="5"/>
              </w:numPr>
              <w:rPr>
                <w:bCs/>
                <w:lang w:val="fr-CA"/>
              </w:rPr>
            </w:pPr>
            <w:r w:rsidRPr="00A92CED">
              <w:rPr>
                <w:bCs/>
                <w:lang w:val="fr-CA"/>
              </w:rPr>
              <w:t>Le titulaire d’un permis ou d’un certificat de fabrication visé à la section 2 doit s’assurer que :</w:t>
            </w:r>
          </w:p>
          <w:p w14:paraId="59811546" w14:textId="2C8084B6" w:rsidR="003300F2" w:rsidRPr="00A92CED" w:rsidRDefault="003300F2" w:rsidP="00E10233">
            <w:pPr>
              <w:pStyle w:val="NoSpacing"/>
              <w:numPr>
                <w:ilvl w:val="1"/>
                <w:numId w:val="5"/>
              </w:numPr>
              <w:rPr>
                <w:bCs/>
                <w:lang w:val="fr-CA"/>
              </w:rPr>
            </w:pPr>
            <w:r w:rsidRPr="00A92CED">
              <w:rPr>
                <w:lang w:val="fr-CA"/>
              </w:rPr>
              <w:lastRenderedPageBreak/>
              <w:t xml:space="preserve">Chaque lieu de travail et chaque </w:t>
            </w:r>
            <w:r w:rsidR="003D245D" w:rsidRPr="00A92CED">
              <w:rPr>
                <w:lang w:val="fr-CA"/>
              </w:rPr>
              <w:t>poudrière</w:t>
            </w:r>
            <w:r w:rsidRPr="00A92CED">
              <w:rPr>
                <w:lang w:val="fr-CA"/>
              </w:rPr>
              <w:t xml:space="preserve"> doit être construit et entretenu de façon à être bien ventilé et à résister au vol, aux intempéries et au feu;</w:t>
            </w:r>
          </w:p>
          <w:p w14:paraId="4819FB6A" w14:textId="04AD0672" w:rsidR="003300F2" w:rsidRPr="00A92CED" w:rsidRDefault="003300F2" w:rsidP="00E10233">
            <w:pPr>
              <w:pStyle w:val="NoSpacing"/>
              <w:numPr>
                <w:ilvl w:val="1"/>
                <w:numId w:val="5"/>
              </w:numPr>
              <w:rPr>
                <w:bCs/>
                <w:lang w:val="fr-CA"/>
              </w:rPr>
            </w:pPr>
            <w:r w:rsidRPr="00A92CED">
              <w:rPr>
                <w:lang w:val="fr-CA"/>
              </w:rPr>
              <w:t>Chaque lieu de travail et poudrière doit être situé à une distance acceptable des structures et de l’infrastructure environnantes et des endroits où les gens sont susceptibles d’être présents.</w:t>
            </w:r>
          </w:p>
          <w:p w14:paraId="70A70C97" w14:textId="0777A70A" w:rsidR="003300F2" w:rsidRPr="00A92CED" w:rsidRDefault="003300F2" w:rsidP="00A92CED">
            <w:pPr>
              <w:pStyle w:val="ListParagraph"/>
              <w:numPr>
                <w:ilvl w:val="0"/>
                <w:numId w:val="5"/>
              </w:numPr>
              <w:rPr>
                <w:rFonts w:ascii="Calibri" w:hAnsi="Calibri" w:cs="Calibri"/>
                <w:lang w:val="fr-CA"/>
              </w:rPr>
            </w:pPr>
            <w:r w:rsidRPr="00A92CED">
              <w:rPr>
                <w:lang w:val="fr-CA"/>
              </w:rPr>
              <w:t>La distance acceptable est déterminée par le ministre en fonction du risque de dommage aux personnes ou aux biens, en tenant compte de la quantité et du type d’explosifs à fabriquer, de la matière première à utiliser, des opérations de fabrication à effectuer, de la force, de la proximité et de l’utilisation des structures et de l’infrastructure environnantes et du nombre de personnes susceptibles de se trouver à proximité de l’unité, de la poudrière ou de l’installation.</w:t>
            </w:r>
          </w:p>
        </w:tc>
        <w:tc>
          <w:tcPr>
            <w:tcW w:w="3143" w:type="dxa"/>
            <w:gridSpan w:val="2"/>
          </w:tcPr>
          <w:p w14:paraId="539B0081" w14:textId="2873FC91" w:rsidR="003300F2" w:rsidRPr="00A92CED" w:rsidRDefault="003300F2" w:rsidP="003300F2">
            <w:pPr>
              <w:rPr>
                <w:lang w:val="fr-CA"/>
              </w:rPr>
            </w:pPr>
            <w:r w:rsidRPr="00A92CED">
              <w:rPr>
                <w:lang w:val="fr-CA"/>
              </w:rPr>
              <w:lastRenderedPageBreak/>
              <w:t xml:space="preserve">Cette exigence est actuellement incluse dans les modalités de toutes les licences et tous les certificats de fabrication délivrés en vertu de la section 2 en vertu de la partie 5 du Règlement. Comme il s’agit d’une exigence </w:t>
            </w:r>
            <w:r w:rsidRPr="00A92CED">
              <w:rPr>
                <w:lang w:val="fr-CA"/>
              </w:rPr>
              <w:lastRenderedPageBreak/>
              <w:t>permanente qui s’applique à toutes ces licences et tous ces certificats, l’intention de la politique pour cette modification proposée est d’enchâsser cette exigence dans le Règlement plutôt que de l’inclure dans les modalités de chaque licence et certificat de fabrication de la section 2.</w:t>
            </w:r>
          </w:p>
        </w:tc>
        <w:tc>
          <w:tcPr>
            <w:tcW w:w="3087" w:type="dxa"/>
          </w:tcPr>
          <w:p w14:paraId="7C6F343E" w14:textId="77777777" w:rsidR="003300F2" w:rsidRPr="00A92CED" w:rsidRDefault="003300F2" w:rsidP="00817532">
            <w:pPr>
              <w:rPr>
                <w:lang w:val="fr-CA"/>
              </w:rPr>
            </w:pPr>
          </w:p>
        </w:tc>
      </w:tr>
      <w:tr w:rsidR="00A92CED" w:rsidRPr="00A92CED" w14:paraId="605B315E" w14:textId="59847185" w:rsidTr="00E10233">
        <w:tc>
          <w:tcPr>
            <w:tcW w:w="3126" w:type="dxa"/>
          </w:tcPr>
          <w:p w14:paraId="1E87BC77" w14:textId="77777777" w:rsidR="003300F2" w:rsidRPr="00A92CED" w:rsidRDefault="003300F2">
            <w:pPr>
              <w:pStyle w:val="ListParagraph"/>
              <w:numPr>
                <w:ilvl w:val="0"/>
                <w:numId w:val="1"/>
              </w:numPr>
              <w:jc w:val="center"/>
              <w:rPr>
                <w:lang w:val="fr-CA"/>
              </w:rPr>
            </w:pPr>
          </w:p>
        </w:tc>
        <w:tc>
          <w:tcPr>
            <w:tcW w:w="3715" w:type="dxa"/>
          </w:tcPr>
          <w:p w14:paraId="46AEC1D2" w14:textId="124088B2" w:rsidR="003300F2" w:rsidRPr="00A92CED" w:rsidRDefault="003300F2" w:rsidP="00795903">
            <w:pPr>
              <w:rPr>
                <w:rFonts w:ascii="Calibri" w:hAnsi="Calibri" w:cs="Calibri"/>
                <w:lang w:val="fr-CA"/>
              </w:rPr>
            </w:pPr>
            <w:r w:rsidRPr="00A92CED">
              <w:rPr>
                <w:rFonts w:ascii="Calibri" w:hAnsi="Calibri" w:cs="Calibri"/>
                <w:b/>
                <w:bCs/>
                <w:lang w:val="fr-CA"/>
              </w:rPr>
              <w:t xml:space="preserve">109 </w:t>
            </w:r>
            <w:r w:rsidRPr="00A92CED">
              <w:rPr>
                <w:rFonts w:ascii="Calibri" w:hAnsi="Calibri" w:cs="Calibri"/>
                <w:lang w:val="fr-CA"/>
              </w:rPr>
              <w:t>(2) La demande contient un plan du lieu de travail et du secteur qui indique :</w:t>
            </w:r>
          </w:p>
          <w:p w14:paraId="5855EEA1" w14:textId="0A3AED04" w:rsidR="003300F2" w:rsidRPr="00A92CED" w:rsidRDefault="003300F2" w:rsidP="00795903">
            <w:pPr>
              <w:ind w:left="720"/>
              <w:rPr>
                <w:rFonts w:ascii="UniversLTStd-Black" w:hAnsi="UniversLTStd-Black"/>
                <w:b/>
                <w:bCs/>
                <w:sz w:val="18"/>
                <w:szCs w:val="18"/>
                <w:lang w:val="fr-CA"/>
              </w:rPr>
            </w:pPr>
            <w:r w:rsidRPr="00A92CED">
              <w:rPr>
                <w:rFonts w:ascii="Calibri" w:hAnsi="Calibri" w:cs="Calibri"/>
                <w:lang w:val="fr-CA"/>
              </w:rPr>
              <w:lastRenderedPageBreak/>
              <w:t>b)</w:t>
            </w:r>
            <w:r w:rsidRPr="00A92CED">
              <w:rPr>
                <w:rFonts w:ascii="Calibri" w:hAnsi="Calibri" w:cs="Calibri"/>
                <w:b/>
                <w:bCs/>
                <w:lang w:val="fr-CA"/>
              </w:rPr>
              <w:t xml:space="preserve"> </w:t>
            </w:r>
            <w:r w:rsidRPr="00A92CED">
              <w:rPr>
                <w:rFonts w:ascii="Calibri" w:hAnsi="Calibri" w:cs="Calibri"/>
                <w:lang w:val="fr-CA"/>
              </w:rPr>
              <w:t>la topographie de toute partie du lieu de travail qui est à l’extérieur;</w:t>
            </w:r>
          </w:p>
        </w:tc>
        <w:tc>
          <w:tcPr>
            <w:tcW w:w="4076" w:type="dxa"/>
          </w:tcPr>
          <w:p w14:paraId="73B088AD" w14:textId="471C6F84" w:rsidR="003300F2" w:rsidRPr="00A92CED" w:rsidRDefault="003300F2" w:rsidP="00817532">
            <w:pPr>
              <w:rPr>
                <w:lang w:val="fr-CA"/>
              </w:rPr>
            </w:pPr>
            <w:r w:rsidRPr="00A92CED">
              <w:rPr>
                <w:rFonts w:ascii="Calibri" w:hAnsi="Calibri" w:cs="Calibri"/>
                <w:lang w:val="fr-CA"/>
              </w:rPr>
              <w:lastRenderedPageBreak/>
              <w:t>Modifier le paragraphe 109(2) pour supprimer l’alinéa b).</w:t>
            </w:r>
          </w:p>
        </w:tc>
        <w:tc>
          <w:tcPr>
            <w:tcW w:w="3143" w:type="dxa"/>
            <w:gridSpan w:val="2"/>
          </w:tcPr>
          <w:p w14:paraId="56784E28" w14:textId="72D1AB51" w:rsidR="003300F2" w:rsidRPr="00A92CED" w:rsidRDefault="003300F2" w:rsidP="00817532">
            <w:pPr>
              <w:rPr>
                <w:lang w:val="fr-CA"/>
              </w:rPr>
            </w:pPr>
            <w:r w:rsidRPr="00A92CED">
              <w:rPr>
                <w:lang w:val="fr-CA"/>
              </w:rPr>
              <w:t xml:space="preserve">Cet amendement proposé vise à supprimer des renseignements qu’il n’est pas nécessaire </w:t>
            </w:r>
            <w:r w:rsidRPr="00A92CED">
              <w:rPr>
                <w:lang w:val="fr-CA"/>
              </w:rPr>
              <w:lastRenderedPageBreak/>
              <w:t>d’inclure dans le plan du lieu de travail et du secteur dans le cadre de la demande.</w:t>
            </w:r>
          </w:p>
        </w:tc>
        <w:tc>
          <w:tcPr>
            <w:tcW w:w="3087" w:type="dxa"/>
          </w:tcPr>
          <w:p w14:paraId="4903F0A7" w14:textId="77777777" w:rsidR="003300F2" w:rsidRPr="00A92CED" w:rsidRDefault="003300F2" w:rsidP="00817532">
            <w:pPr>
              <w:rPr>
                <w:lang w:val="fr-CA"/>
              </w:rPr>
            </w:pPr>
          </w:p>
        </w:tc>
      </w:tr>
      <w:tr w:rsidR="00A92CED" w:rsidRPr="00A92CED" w14:paraId="56280054" w14:textId="373421BE" w:rsidTr="00E10233">
        <w:tc>
          <w:tcPr>
            <w:tcW w:w="3126" w:type="dxa"/>
          </w:tcPr>
          <w:p w14:paraId="705A91E5" w14:textId="77777777" w:rsidR="003300F2" w:rsidRPr="00A92CED" w:rsidRDefault="003300F2">
            <w:pPr>
              <w:pStyle w:val="ListParagraph"/>
              <w:numPr>
                <w:ilvl w:val="0"/>
                <w:numId w:val="1"/>
              </w:numPr>
              <w:jc w:val="center"/>
              <w:rPr>
                <w:lang w:val="fr-CA"/>
              </w:rPr>
            </w:pPr>
          </w:p>
        </w:tc>
        <w:tc>
          <w:tcPr>
            <w:tcW w:w="3715" w:type="dxa"/>
          </w:tcPr>
          <w:p w14:paraId="508E2B7D" w14:textId="77777777" w:rsidR="003300F2" w:rsidRPr="00A92CED" w:rsidRDefault="003300F2" w:rsidP="00795903">
            <w:pPr>
              <w:rPr>
                <w:rFonts w:ascii="Calibri" w:hAnsi="Calibri" w:cs="Calibri"/>
                <w:lang w:val="fr-CA"/>
              </w:rPr>
            </w:pPr>
            <w:r w:rsidRPr="00A92CED">
              <w:rPr>
                <w:rFonts w:ascii="Calibri" w:hAnsi="Calibri" w:cs="Calibri"/>
                <w:b/>
                <w:bCs/>
                <w:lang w:val="fr-CA"/>
              </w:rPr>
              <w:t xml:space="preserve">109 </w:t>
            </w:r>
            <w:r w:rsidRPr="00A92CED">
              <w:rPr>
                <w:rFonts w:ascii="Calibri" w:hAnsi="Calibri" w:cs="Calibri"/>
                <w:lang w:val="fr-CA"/>
              </w:rPr>
              <w:t>(2) La demande contient un plan du lieu de travail et du secteur qui indique :</w:t>
            </w:r>
          </w:p>
          <w:p w14:paraId="4B992A6E" w14:textId="53EA2371" w:rsidR="003300F2" w:rsidRPr="00A92CED" w:rsidRDefault="003300F2" w:rsidP="00795903">
            <w:pPr>
              <w:ind w:left="720"/>
              <w:rPr>
                <w:rFonts w:ascii="Calibri" w:hAnsi="Calibri" w:cs="Calibri"/>
                <w:lang w:val="fr-CA"/>
              </w:rPr>
            </w:pPr>
            <w:r w:rsidRPr="00A92CED">
              <w:rPr>
                <w:rFonts w:ascii="Calibri" w:hAnsi="Calibri" w:cs="Calibri"/>
                <w:lang w:val="fr-CA"/>
              </w:rPr>
              <w:t>a)</w:t>
            </w:r>
            <w:r w:rsidRPr="00A92CED">
              <w:rPr>
                <w:rFonts w:ascii="Calibri" w:hAnsi="Calibri" w:cs="Calibri"/>
                <w:b/>
                <w:bCs/>
                <w:lang w:val="fr-CA"/>
              </w:rPr>
              <w:t xml:space="preserve"> </w:t>
            </w:r>
            <w:r w:rsidRPr="00A92CED">
              <w:rPr>
                <w:rFonts w:ascii="Calibri" w:hAnsi="Calibri" w:cs="Calibri"/>
                <w:lang w:val="fr-CA"/>
              </w:rPr>
              <w:t>l’emplacement du lieu de travail dans tout bâtiment ou construction;</w:t>
            </w:r>
            <w:r w:rsidRPr="00A92CED">
              <w:rPr>
                <w:rFonts w:ascii="Calibri" w:hAnsi="Calibri" w:cs="Calibri"/>
                <w:lang w:val="fr-CA"/>
              </w:rPr>
              <w:br/>
              <w:t>b) la topographie de toute partie du lieu de travail qui est à l’extérieur;</w:t>
            </w:r>
            <w:r w:rsidRPr="00A92CED">
              <w:rPr>
                <w:rFonts w:ascii="Calibri" w:hAnsi="Calibri" w:cs="Calibri"/>
                <w:lang w:val="fr-CA"/>
              </w:rPr>
              <w:br/>
              <w:t>c)</w:t>
            </w:r>
            <w:r w:rsidRPr="00A92CED">
              <w:rPr>
                <w:rFonts w:ascii="Calibri" w:hAnsi="Calibri" w:cs="Calibri"/>
                <w:b/>
                <w:bCs/>
                <w:lang w:val="fr-CA"/>
              </w:rPr>
              <w:t xml:space="preserve"> </w:t>
            </w:r>
            <w:r w:rsidRPr="00A92CED">
              <w:rPr>
                <w:rFonts w:ascii="Calibri" w:hAnsi="Calibri" w:cs="Calibri"/>
                <w:lang w:val="fr-CA"/>
              </w:rPr>
              <w:t>l’emplacement de l’équipement et des barrières décrits aux alinéas (1)d) et e);</w:t>
            </w:r>
          </w:p>
          <w:p w14:paraId="5D9BF2EE" w14:textId="2C6A0354" w:rsidR="003300F2" w:rsidRPr="00A92CED" w:rsidRDefault="003300F2" w:rsidP="00795903">
            <w:pPr>
              <w:ind w:left="720"/>
              <w:rPr>
                <w:b/>
                <w:lang w:val="fr-CA"/>
              </w:rPr>
            </w:pPr>
            <w:r w:rsidRPr="00A92CED">
              <w:rPr>
                <w:rFonts w:ascii="Calibri" w:hAnsi="Calibri" w:cs="Calibri"/>
                <w:lang w:val="fr-CA"/>
              </w:rPr>
              <w:t>d) la distance en mètres entre l’équipement et les barrières décrits aux alinéas (1)d) et e);</w:t>
            </w:r>
            <w:r w:rsidRPr="00A92CED">
              <w:rPr>
                <w:rFonts w:ascii="Calibri" w:hAnsi="Calibri" w:cs="Calibri"/>
                <w:lang w:val="fr-CA"/>
              </w:rPr>
              <w:br/>
              <w:t>e)</w:t>
            </w:r>
            <w:r w:rsidRPr="00A92CED">
              <w:rPr>
                <w:rFonts w:ascii="Calibri" w:hAnsi="Calibri" w:cs="Calibri"/>
                <w:b/>
                <w:bCs/>
                <w:lang w:val="fr-CA"/>
              </w:rPr>
              <w:t xml:space="preserve"> </w:t>
            </w:r>
            <w:r w:rsidRPr="00A92CED">
              <w:rPr>
                <w:rFonts w:ascii="Calibri" w:hAnsi="Calibri" w:cs="Calibri"/>
                <w:lang w:val="fr-CA"/>
              </w:rPr>
              <w:t>l’emplacement du lieu de travail dans la localité où il est situé;</w:t>
            </w:r>
            <w:r w:rsidRPr="00A92CED">
              <w:rPr>
                <w:rFonts w:ascii="Calibri" w:hAnsi="Calibri" w:cs="Calibri"/>
                <w:lang w:val="fr-CA"/>
              </w:rPr>
              <w:br/>
              <w:t>f)</w:t>
            </w:r>
            <w:r w:rsidRPr="00A92CED">
              <w:rPr>
                <w:rFonts w:ascii="Calibri" w:hAnsi="Calibri" w:cs="Calibri"/>
                <w:b/>
                <w:bCs/>
                <w:lang w:val="fr-CA"/>
              </w:rPr>
              <w:t xml:space="preserve"> </w:t>
            </w:r>
            <w:r w:rsidRPr="00A92CED">
              <w:rPr>
                <w:rFonts w:ascii="Calibri" w:hAnsi="Calibri" w:cs="Calibri"/>
                <w:lang w:val="fr-CA"/>
              </w:rPr>
              <w:t>le secteur entourant le lieu de travail qui est exposé à des dangers (par exemple, débris et effet de souffle) qui pourraient résulter de l’allumage des explosifs qui seront fabriqués ou stockés au lieu de travail;</w:t>
            </w:r>
            <w:r w:rsidRPr="00A92CED">
              <w:rPr>
                <w:rFonts w:ascii="Calibri" w:hAnsi="Calibri" w:cs="Calibri"/>
                <w:lang w:val="fr-CA"/>
              </w:rPr>
              <w:br/>
              <w:t>g)</w:t>
            </w:r>
            <w:r w:rsidRPr="00A92CED">
              <w:rPr>
                <w:rFonts w:ascii="Calibri" w:hAnsi="Calibri" w:cs="Calibri"/>
                <w:b/>
                <w:bCs/>
                <w:lang w:val="fr-CA"/>
              </w:rPr>
              <w:t xml:space="preserve"> </w:t>
            </w:r>
            <w:r w:rsidRPr="00A92CED">
              <w:rPr>
                <w:rFonts w:ascii="Calibri" w:hAnsi="Calibri" w:cs="Calibri"/>
                <w:lang w:val="fr-CA"/>
              </w:rPr>
              <w:t>chaque *lieu vulnérable dans ce secteur;</w:t>
            </w:r>
            <w:r w:rsidRPr="00A92CED">
              <w:rPr>
                <w:rFonts w:ascii="Calibri" w:hAnsi="Calibri" w:cs="Calibri"/>
                <w:lang w:val="fr-CA"/>
              </w:rPr>
              <w:br/>
              <w:t>h)</w:t>
            </w:r>
            <w:r w:rsidRPr="00A92CED">
              <w:rPr>
                <w:rFonts w:ascii="Calibri" w:hAnsi="Calibri" w:cs="Calibri"/>
                <w:b/>
                <w:bCs/>
                <w:lang w:val="fr-CA"/>
              </w:rPr>
              <w:t xml:space="preserve"> </w:t>
            </w:r>
            <w:r w:rsidRPr="00A92CED">
              <w:rPr>
                <w:rFonts w:ascii="Calibri" w:hAnsi="Calibri" w:cs="Calibri"/>
                <w:lang w:val="fr-CA"/>
              </w:rPr>
              <w:t xml:space="preserve">la distance en mètres entre </w:t>
            </w:r>
            <w:r w:rsidRPr="00A92CED">
              <w:rPr>
                <w:rFonts w:ascii="Calibri" w:hAnsi="Calibri" w:cs="Calibri"/>
                <w:lang w:val="fr-CA"/>
              </w:rPr>
              <w:lastRenderedPageBreak/>
              <w:t>le lieu de travail et chaque lieu vulnérable.</w:t>
            </w:r>
          </w:p>
        </w:tc>
        <w:tc>
          <w:tcPr>
            <w:tcW w:w="4076" w:type="dxa"/>
          </w:tcPr>
          <w:p w14:paraId="42C36E4D" w14:textId="16217123" w:rsidR="003300F2" w:rsidRPr="00A92CED" w:rsidRDefault="003300F2" w:rsidP="00817532">
            <w:pPr>
              <w:rPr>
                <w:lang w:val="fr-CA"/>
              </w:rPr>
            </w:pPr>
            <w:r w:rsidRPr="00A92CED">
              <w:rPr>
                <w:rFonts w:ascii="Calibri" w:hAnsi="Calibri" w:cs="Calibri"/>
                <w:lang w:val="fr-CA"/>
              </w:rPr>
              <w:lastRenderedPageBreak/>
              <w:t>Modifier le paragraphe 109(2) pour ajouter une exigence stipulant que la demande doit contenir un plan du lieu de travail et du secteur qui indique les coordonnées géographiques de toute partie du lieu de travail qui est à l’extérieur.</w:t>
            </w:r>
          </w:p>
        </w:tc>
        <w:tc>
          <w:tcPr>
            <w:tcW w:w="3143" w:type="dxa"/>
            <w:gridSpan w:val="2"/>
          </w:tcPr>
          <w:p w14:paraId="5E6B51A5" w14:textId="7A564AEB" w:rsidR="003300F2" w:rsidRPr="00A92CED" w:rsidRDefault="003300F2" w:rsidP="00817532">
            <w:pPr>
              <w:rPr>
                <w:lang w:val="fr-CA"/>
              </w:rPr>
            </w:pPr>
            <w:r w:rsidRPr="00A92CED">
              <w:rPr>
                <w:lang w:val="fr-CA"/>
              </w:rPr>
              <w:t>Cet amendement proposé inscrirait dans le Règlement l’obligation de fournir les renseignements qui sont actuellement demandés par RNCan dans le cadre du processus de demande de licence de fabrique de la section 1.</w:t>
            </w:r>
          </w:p>
        </w:tc>
        <w:tc>
          <w:tcPr>
            <w:tcW w:w="3087" w:type="dxa"/>
          </w:tcPr>
          <w:p w14:paraId="65FF3F27" w14:textId="77777777" w:rsidR="003300F2" w:rsidRPr="00A92CED" w:rsidRDefault="003300F2" w:rsidP="00817532">
            <w:pPr>
              <w:rPr>
                <w:lang w:val="fr-CA"/>
              </w:rPr>
            </w:pPr>
          </w:p>
        </w:tc>
      </w:tr>
      <w:tr w:rsidR="00A92CED" w:rsidRPr="00A92CED" w14:paraId="4C7C56EA" w14:textId="0C269FCD" w:rsidTr="00E10233">
        <w:tc>
          <w:tcPr>
            <w:tcW w:w="3126" w:type="dxa"/>
          </w:tcPr>
          <w:p w14:paraId="3A963414" w14:textId="77777777" w:rsidR="003300F2" w:rsidRPr="00A92CED" w:rsidRDefault="003300F2">
            <w:pPr>
              <w:pStyle w:val="ListParagraph"/>
              <w:numPr>
                <w:ilvl w:val="0"/>
                <w:numId w:val="1"/>
              </w:numPr>
              <w:jc w:val="center"/>
              <w:rPr>
                <w:lang w:val="fr-CA"/>
              </w:rPr>
            </w:pPr>
          </w:p>
        </w:tc>
        <w:tc>
          <w:tcPr>
            <w:tcW w:w="3715" w:type="dxa"/>
          </w:tcPr>
          <w:p w14:paraId="374F6F87" w14:textId="77777777" w:rsidR="003300F2" w:rsidRPr="00A92CED" w:rsidRDefault="003300F2" w:rsidP="008C4262">
            <w:pPr>
              <w:rPr>
                <w:rFonts w:ascii="Calibri" w:hAnsi="Calibri" w:cs="Calibri"/>
                <w:lang w:val="fr-CA"/>
              </w:rPr>
            </w:pPr>
            <w:r w:rsidRPr="00A92CED">
              <w:rPr>
                <w:rFonts w:ascii="Calibri" w:hAnsi="Calibri" w:cs="Calibri"/>
                <w:b/>
                <w:bCs/>
                <w:lang w:val="fr-CA"/>
              </w:rPr>
              <w:t xml:space="preserve">109 </w:t>
            </w:r>
            <w:r w:rsidRPr="00A92CED">
              <w:rPr>
                <w:rFonts w:ascii="Calibri" w:hAnsi="Calibri" w:cs="Calibri"/>
                <w:lang w:val="fr-CA"/>
              </w:rPr>
              <w:t>(2) La demande contient un plan du lieu de travail et du secteur qui indique :</w:t>
            </w:r>
          </w:p>
          <w:p w14:paraId="2F58B1F1" w14:textId="0648BE24" w:rsidR="003300F2" w:rsidRPr="00A92CED" w:rsidRDefault="003300F2" w:rsidP="008C4262">
            <w:pPr>
              <w:ind w:left="720"/>
              <w:rPr>
                <w:rFonts w:ascii="Calibri" w:hAnsi="Calibri" w:cs="Calibri"/>
                <w:lang w:val="fr-CA"/>
              </w:rPr>
            </w:pPr>
            <w:r w:rsidRPr="00A92CED">
              <w:rPr>
                <w:rFonts w:ascii="Calibri" w:hAnsi="Calibri" w:cs="Calibri"/>
                <w:lang w:val="fr-CA"/>
              </w:rPr>
              <w:t>c)</w:t>
            </w:r>
            <w:r w:rsidRPr="00A92CED">
              <w:rPr>
                <w:rFonts w:ascii="Calibri" w:hAnsi="Calibri" w:cs="Calibri"/>
                <w:b/>
                <w:bCs/>
                <w:lang w:val="fr-CA"/>
              </w:rPr>
              <w:t xml:space="preserve"> </w:t>
            </w:r>
            <w:r w:rsidRPr="00A92CED">
              <w:rPr>
                <w:rFonts w:ascii="Calibri" w:hAnsi="Calibri" w:cs="Calibri"/>
                <w:lang w:val="fr-CA"/>
              </w:rPr>
              <w:t>l’emplacement de l’équipement et des barrières décrits aux alinéas (1)d) et e);</w:t>
            </w:r>
          </w:p>
        </w:tc>
        <w:tc>
          <w:tcPr>
            <w:tcW w:w="4076" w:type="dxa"/>
          </w:tcPr>
          <w:p w14:paraId="78AF39BF" w14:textId="04632DE0" w:rsidR="003300F2" w:rsidRPr="00A92CED" w:rsidRDefault="003300F2" w:rsidP="00817532">
            <w:pPr>
              <w:rPr>
                <w:lang w:val="fr-CA"/>
              </w:rPr>
            </w:pPr>
            <w:r w:rsidRPr="00A92CED">
              <w:rPr>
                <w:rFonts w:ascii="Calibri" w:hAnsi="Calibri" w:cs="Calibri"/>
                <w:lang w:val="fr-CA"/>
              </w:rPr>
              <w:t>Modifier la version anglaise de l’alinéa 109(2)c) pour supprimer le « and ».</w:t>
            </w:r>
          </w:p>
        </w:tc>
        <w:tc>
          <w:tcPr>
            <w:tcW w:w="3143" w:type="dxa"/>
            <w:gridSpan w:val="2"/>
          </w:tcPr>
          <w:p w14:paraId="7547545C" w14:textId="3A9C8C89" w:rsidR="003300F2" w:rsidRPr="00A92CED" w:rsidRDefault="003300F2" w:rsidP="00817532">
            <w:pPr>
              <w:rPr>
                <w:lang w:val="fr-CA"/>
              </w:rPr>
            </w:pPr>
            <w:r w:rsidRPr="00A92CED">
              <w:rPr>
                <w:rFonts w:ascii="Calibri" w:hAnsi="Calibri" w:cs="Calibri"/>
                <w:lang w:val="fr-CA"/>
              </w:rPr>
              <w:t>Cet amendement proposé vise à corriger une coquille.</w:t>
            </w:r>
          </w:p>
        </w:tc>
        <w:tc>
          <w:tcPr>
            <w:tcW w:w="3087" w:type="dxa"/>
          </w:tcPr>
          <w:p w14:paraId="40CD2CC7" w14:textId="77777777" w:rsidR="003300F2" w:rsidRPr="00A92CED" w:rsidRDefault="003300F2" w:rsidP="00817532">
            <w:pPr>
              <w:rPr>
                <w:lang w:val="fr-CA"/>
              </w:rPr>
            </w:pPr>
          </w:p>
        </w:tc>
      </w:tr>
      <w:tr w:rsidR="00A92CED" w:rsidRPr="00A92CED" w14:paraId="7798A17A" w14:textId="1A3B95B4" w:rsidTr="00E10233">
        <w:tc>
          <w:tcPr>
            <w:tcW w:w="3126" w:type="dxa"/>
          </w:tcPr>
          <w:p w14:paraId="6A0041BD" w14:textId="77777777" w:rsidR="003300F2" w:rsidRPr="00A92CED" w:rsidRDefault="003300F2">
            <w:pPr>
              <w:pStyle w:val="ListParagraph"/>
              <w:numPr>
                <w:ilvl w:val="0"/>
                <w:numId w:val="1"/>
              </w:numPr>
              <w:jc w:val="center"/>
              <w:rPr>
                <w:lang w:val="fr-CA"/>
              </w:rPr>
            </w:pPr>
          </w:p>
        </w:tc>
        <w:tc>
          <w:tcPr>
            <w:tcW w:w="3715" w:type="dxa"/>
          </w:tcPr>
          <w:p w14:paraId="0B8C269B" w14:textId="77777777" w:rsidR="003300F2" w:rsidRPr="00A92CED" w:rsidRDefault="003300F2" w:rsidP="008C4262">
            <w:pPr>
              <w:rPr>
                <w:rFonts w:ascii="Calibri" w:hAnsi="Calibri" w:cs="Calibri"/>
                <w:lang w:val="fr-CA"/>
              </w:rPr>
            </w:pPr>
            <w:r w:rsidRPr="00A92CED">
              <w:rPr>
                <w:rFonts w:ascii="Calibri" w:hAnsi="Calibri" w:cs="Calibri"/>
                <w:b/>
                <w:bCs/>
                <w:lang w:val="fr-CA"/>
              </w:rPr>
              <w:t xml:space="preserve">109 </w:t>
            </w:r>
            <w:r w:rsidRPr="00A92CED">
              <w:rPr>
                <w:rFonts w:ascii="Calibri" w:hAnsi="Calibri" w:cs="Calibri"/>
                <w:lang w:val="fr-CA"/>
              </w:rPr>
              <w:t>(2) La demande contient un plan du lieu de travail et du secteur qui indique :</w:t>
            </w:r>
          </w:p>
          <w:p w14:paraId="26E6E96C" w14:textId="16E65D77" w:rsidR="003300F2" w:rsidRPr="00A92CED" w:rsidRDefault="003300F2" w:rsidP="008C4262">
            <w:pPr>
              <w:ind w:left="720"/>
              <w:rPr>
                <w:b/>
                <w:lang w:val="fr-CA"/>
              </w:rPr>
            </w:pPr>
            <w:r w:rsidRPr="00A92CED">
              <w:rPr>
                <w:rFonts w:ascii="Calibri" w:hAnsi="Calibri" w:cs="Calibri"/>
                <w:lang w:val="fr-CA"/>
              </w:rPr>
              <w:t>d) la distance en mètres entre l’équipement et les barrières décrits aux alinéas (1)d) et e);</w:t>
            </w:r>
          </w:p>
        </w:tc>
        <w:tc>
          <w:tcPr>
            <w:tcW w:w="4076" w:type="dxa"/>
          </w:tcPr>
          <w:p w14:paraId="03958E15" w14:textId="70707D05" w:rsidR="003300F2" w:rsidRPr="00A92CED" w:rsidRDefault="003300F2" w:rsidP="00817532">
            <w:pPr>
              <w:rPr>
                <w:lang w:val="fr-CA"/>
              </w:rPr>
            </w:pPr>
            <w:r w:rsidRPr="00A92CED">
              <w:rPr>
                <w:rFonts w:ascii="Calibri" w:hAnsi="Calibri" w:cs="Calibri"/>
                <w:lang w:val="fr-CA"/>
              </w:rPr>
              <w:t>Modifier la version anglaise de l’alinéa 109(2)d) pour remplacer le point à la fin de l’alinéa par un point-virgule.</w:t>
            </w:r>
          </w:p>
        </w:tc>
        <w:tc>
          <w:tcPr>
            <w:tcW w:w="3143" w:type="dxa"/>
            <w:gridSpan w:val="2"/>
          </w:tcPr>
          <w:p w14:paraId="1B7877CD" w14:textId="6D3B8886" w:rsidR="003300F2" w:rsidRPr="00A92CED" w:rsidRDefault="003300F2" w:rsidP="00817532">
            <w:pPr>
              <w:rPr>
                <w:lang w:val="fr-CA"/>
              </w:rPr>
            </w:pPr>
            <w:r w:rsidRPr="00A92CED">
              <w:rPr>
                <w:rFonts w:ascii="Calibri" w:hAnsi="Calibri" w:cs="Calibri"/>
                <w:lang w:val="fr-CA"/>
              </w:rPr>
              <w:t>Cet amendement proposé vise à corriger une coquille.</w:t>
            </w:r>
          </w:p>
        </w:tc>
        <w:tc>
          <w:tcPr>
            <w:tcW w:w="3087" w:type="dxa"/>
          </w:tcPr>
          <w:p w14:paraId="7AEAD1D6" w14:textId="77777777" w:rsidR="003300F2" w:rsidRPr="00A92CED" w:rsidRDefault="003300F2" w:rsidP="00817532">
            <w:pPr>
              <w:rPr>
                <w:lang w:val="fr-CA"/>
              </w:rPr>
            </w:pPr>
          </w:p>
        </w:tc>
      </w:tr>
      <w:tr w:rsidR="00A92CED" w:rsidRPr="00A92CED" w14:paraId="56855107" w14:textId="72622B8D" w:rsidTr="00E10233">
        <w:tc>
          <w:tcPr>
            <w:tcW w:w="3126" w:type="dxa"/>
          </w:tcPr>
          <w:p w14:paraId="12E296E0" w14:textId="77777777" w:rsidR="003300F2" w:rsidRPr="00A92CED" w:rsidRDefault="003300F2">
            <w:pPr>
              <w:pStyle w:val="ListParagraph"/>
              <w:numPr>
                <w:ilvl w:val="0"/>
                <w:numId w:val="1"/>
              </w:numPr>
              <w:jc w:val="center"/>
              <w:rPr>
                <w:lang w:val="fr-CA"/>
              </w:rPr>
            </w:pPr>
          </w:p>
        </w:tc>
        <w:tc>
          <w:tcPr>
            <w:tcW w:w="3715" w:type="dxa"/>
          </w:tcPr>
          <w:p w14:paraId="19C2DD27" w14:textId="37FAEA1E" w:rsidR="003300F2" w:rsidRPr="00A92CED" w:rsidRDefault="003300F2" w:rsidP="001D320A">
            <w:pPr>
              <w:rPr>
                <w:b/>
                <w:lang w:val="fr-CA"/>
              </w:rPr>
            </w:pPr>
            <w:r w:rsidRPr="00A92CED">
              <w:rPr>
                <w:b/>
                <w:lang w:val="fr-CA"/>
              </w:rPr>
              <w:t>NOUVEAU</w:t>
            </w:r>
          </w:p>
        </w:tc>
        <w:tc>
          <w:tcPr>
            <w:tcW w:w="4076" w:type="dxa"/>
          </w:tcPr>
          <w:p w14:paraId="63AAE979" w14:textId="4F4A2FFC" w:rsidR="003300F2" w:rsidRPr="00A92CED" w:rsidRDefault="003300F2" w:rsidP="00817532">
            <w:pPr>
              <w:rPr>
                <w:lang w:val="fr-CA"/>
              </w:rPr>
            </w:pPr>
            <w:r w:rsidRPr="00A92CED">
              <w:rPr>
                <w:lang w:val="fr-CA"/>
              </w:rPr>
              <w:t>Modifier la section 2 de la partie 5 du Règlement pour ajouter une nouvelle exigence stipulant que toutes les poudrières pour les explosifs de type E et de type I doivent faire l’objet d’une surveillance physique ou électronique que le ministre juge acceptable, en fonction des risques pour la sécurité au site agréé, à moins d’indication contraire sur la licence.</w:t>
            </w:r>
          </w:p>
        </w:tc>
        <w:tc>
          <w:tcPr>
            <w:tcW w:w="3143" w:type="dxa"/>
            <w:gridSpan w:val="2"/>
          </w:tcPr>
          <w:p w14:paraId="779D840F" w14:textId="5A4C94D2" w:rsidR="003300F2" w:rsidRPr="00A92CED" w:rsidRDefault="003300F2" w:rsidP="00F81B6E">
            <w:pPr>
              <w:rPr>
                <w:lang w:val="fr-CA"/>
              </w:rPr>
            </w:pPr>
            <w:r w:rsidRPr="00A92CED">
              <w:rPr>
                <w:lang w:val="fr-CA"/>
              </w:rPr>
              <w:t xml:space="preserve">Cette exigence est actuellement incluse dans les conditions de toutes les licences de fabrique de la section 1 et de la section 2 délivrées en vertu de la partie 5 du Règlement et de toutes les licences de poudrière. Comme il s’agit d’une exigence permanente qui s’applique à tous ces types de licences, cet amendement proposé vise à inscrire cette exigence dans le Règlement aux sections 1 et 2 de la partie 5 et à la partie 6 plutôt que de l’inclure dans les conditions de chaque licence. </w:t>
            </w:r>
          </w:p>
          <w:p w14:paraId="70E02F4E" w14:textId="77777777" w:rsidR="003300F2" w:rsidRPr="00A92CED" w:rsidRDefault="003300F2" w:rsidP="00F81B6E">
            <w:pPr>
              <w:rPr>
                <w:lang w:val="fr-CA"/>
              </w:rPr>
            </w:pPr>
          </w:p>
          <w:p w14:paraId="2ECBABA9" w14:textId="31C654DF" w:rsidR="003300F2" w:rsidRPr="00A92CED" w:rsidRDefault="003300F2" w:rsidP="00F81B6E">
            <w:pPr>
              <w:rPr>
                <w:lang w:val="fr-CA"/>
              </w:rPr>
            </w:pPr>
            <w:r w:rsidRPr="00A92CED">
              <w:rPr>
                <w:lang w:val="fr-CA"/>
              </w:rPr>
              <w:t xml:space="preserve">Une politique de RNCan définirait les moyens physiques </w:t>
            </w:r>
            <w:r w:rsidRPr="00A92CED">
              <w:rPr>
                <w:lang w:val="fr-CA"/>
              </w:rPr>
              <w:lastRenderedPageBreak/>
              <w:t xml:space="preserve">ou électroniques que le ministère juge acceptables. </w:t>
            </w:r>
          </w:p>
        </w:tc>
        <w:tc>
          <w:tcPr>
            <w:tcW w:w="3087" w:type="dxa"/>
          </w:tcPr>
          <w:p w14:paraId="3B2DB38A" w14:textId="77777777" w:rsidR="003300F2" w:rsidRPr="00A92CED" w:rsidRDefault="003300F2" w:rsidP="00817532">
            <w:pPr>
              <w:rPr>
                <w:lang w:val="fr-CA"/>
              </w:rPr>
            </w:pPr>
          </w:p>
        </w:tc>
      </w:tr>
      <w:tr w:rsidR="00A92CED" w:rsidRPr="00A92CED" w14:paraId="33B9CB3D" w14:textId="634D7D96" w:rsidTr="00F47EB0">
        <w:tc>
          <w:tcPr>
            <w:tcW w:w="17147" w:type="dxa"/>
            <w:gridSpan w:val="6"/>
            <w:shd w:val="clear" w:color="auto" w:fill="F2F2F2" w:themeFill="background1" w:themeFillShade="F2"/>
          </w:tcPr>
          <w:p w14:paraId="2ED7D622" w14:textId="6E2E0E72" w:rsidR="003300F2" w:rsidRPr="00A92CED" w:rsidRDefault="003300F2" w:rsidP="00C75FE0">
            <w:pPr>
              <w:spacing w:before="60" w:after="60"/>
              <w:jc w:val="center"/>
              <w:rPr>
                <w:rFonts w:ascii="Arial" w:hAnsi="Arial" w:cs="Arial"/>
                <w:sz w:val="24"/>
                <w:szCs w:val="24"/>
                <w:lang w:val="fr-CA"/>
              </w:rPr>
            </w:pPr>
            <w:r w:rsidRPr="00A92CED">
              <w:rPr>
                <w:rFonts w:ascii="Arial" w:hAnsi="Arial" w:cs="Arial"/>
                <w:sz w:val="24"/>
                <w:szCs w:val="24"/>
                <w:lang w:val="fr-CA"/>
              </w:rPr>
              <w:t>Section 3 : Fabrication d’explosifs qui ne nécessite pas de licence ou de certificat</w:t>
            </w:r>
          </w:p>
        </w:tc>
      </w:tr>
      <w:tr w:rsidR="00A92CED" w:rsidRPr="00A92CED" w14:paraId="06FB7144" w14:textId="77777777" w:rsidTr="00E10233">
        <w:tc>
          <w:tcPr>
            <w:tcW w:w="3126" w:type="dxa"/>
          </w:tcPr>
          <w:p w14:paraId="725D8ED4" w14:textId="77777777" w:rsidR="003300F2" w:rsidRPr="00A92CED" w:rsidRDefault="003300F2">
            <w:pPr>
              <w:pStyle w:val="ListParagraph"/>
              <w:numPr>
                <w:ilvl w:val="0"/>
                <w:numId w:val="1"/>
              </w:numPr>
              <w:jc w:val="center"/>
              <w:rPr>
                <w:lang w:val="fr-CA"/>
              </w:rPr>
            </w:pPr>
          </w:p>
        </w:tc>
        <w:tc>
          <w:tcPr>
            <w:tcW w:w="3715" w:type="dxa"/>
          </w:tcPr>
          <w:p w14:paraId="766E7C2A" w14:textId="5D84829D" w:rsidR="003300F2" w:rsidRPr="00A92CED" w:rsidRDefault="003300F2" w:rsidP="009956B9">
            <w:pPr>
              <w:rPr>
                <w:rFonts w:ascii="Calibri" w:hAnsi="Calibri" w:cs="Calibri"/>
                <w:lang w:val="fr-CA"/>
              </w:rPr>
            </w:pPr>
            <w:r w:rsidRPr="00A92CED">
              <w:rPr>
                <w:rFonts w:ascii="Calibri" w:hAnsi="Calibri" w:cs="Calibri"/>
                <w:b/>
                <w:bCs/>
                <w:lang w:val="fr-CA"/>
              </w:rPr>
              <w:t xml:space="preserve">135 </w:t>
            </w:r>
            <w:r w:rsidRPr="00A92CED">
              <w:rPr>
                <w:rFonts w:ascii="Calibri" w:hAnsi="Calibri" w:cs="Calibri"/>
                <w:lang w:val="fr-CA"/>
              </w:rPr>
              <w:t>(1) Toute personne qui se conforme au paragraphe (2) peut assembler des *explosifs, au lieu où les explosifs seront utilisés, en combinant des *objets explosifs (par exemple, un détonateur et un renforçateur, un cordeau détonant et des cartouches d’explosif, des pièces pyrotechniques et des accessoires pour pièces pyrotechniques).</w:t>
            </w:r>
          </w:p>
          <w:p w14:paraId="079E4568" w14:textId="77777777" w:rsidR="003300F2" w:rsidRPr="00A92CED" w:rsidRDefault="003300F2" w:rsidP="009956B9">
            <w:pPr>
              <w:rPr>
                <w:lang w:val="fr-CA"/>
              </w:rPr>
            </w:pPr>
          </w:p>
          <w:p w14:paraId="5DD95ADB" w14:textId="1F557645" w:rsidR="003300F2" w:rsidRPr="00A92CED" w:rsidRDefault="003300F2" w:rsidP="009956B9">
            <w:pPr>
              <w:rPr>
                <w:rFonts w:ascii="Calibri" w:hAnsi="Calibri" w:cs="Calibri"/>
                <w:lang w:val="fr-CA"/>
              </w:rPr>
            </w:pPr>
            <w:r w:rsidRPr="00A92CED">
              <w:rPr>
                <w:rFonts w:ascii="Calibri" w:hAnsi="Calibri" w:cs="Calibri"/>
                <w:lang w:val="fr-CA"/>
              </w:rPr>
              <w:t>(2) La personne qui effectue l’activité veille à ce que les exigences ci-après soient respectées :</w:t>
            </w:r>
          </w:p>
          <w:p w14:paraId="0A3D415F" w14:textId="1CA0D23C" w:rsidR="003300F2" w:rsidRPr="00A92CED" w:rsidRDefault="003300F2" w:rsidP="009956B9">
            <w:pPr>
              <w:ind w:left="720"/>
              <w:rPr>
                <w:rFonts w:ascii="Calibri" w:hAnsi="Calibri" w:cs="Calibri"/>
                <w:b/>
                <w:bCs/>
                <w:lang w:val="fr-CA"/>
              </w:rPr>
            </w:pPr>
            <w:r w:rsidRPr="00A92CED">
              <w:rPr>
                <w:rFonts w:ascii="Calibri" w:hAnsi="Calibri" w:cs="Calibri"/>
                <w:lang w:val="fr-CA"/>
              </w:rPr>
              <w:t>a) les objets explosifs sont sur la liste des explosifs autorisés mentionnée au paragraphe 41(1);</w:t>
            </w:r>
            <w:r w:rsidRPr="00A92CED">
              <w:rPr>
                <w:rFonts w:ascii="Calibri" w:hAnsi="Calibri" w:cs="Calibri"/>
                <w:lang w:val="fr-CA"/>
              </w:rPr>
              <w:br/>
              <w:t>b) les objets explosifs ne peuvent être modifiés, sauf que les cartouches peuvent être coupées ou fendues et les cordeaux détonants et les mèches, coupés ou taillés;</w:t>
            </w:r>
            <w:r w:rsidRPr="00A92CED">
              <w:rPr>
                <w:rFonts w:ascii="Calibri" w:hAnsi="Calibri" w:cs="Calibri"/>
                <w:lang w:val="fr-CA"/>
              </w:rPr>
              <w:br/>
              <w:t>c) des précautions qui réduisent au minimum la probabilité d’un allumage accidentel sont prises.</w:t>
            </w:r>
          </w:p>
        </w:tc>
        <w:tc>
          <w:tcPr>
            <w:tcW w:w="4076" w:type="dxa"/>
          </w:tcPr>
          <w:p w14:paraId="6891937A" w14:textId="32A0A151" w:rsidR="003300F2" w:rsidRPr="00A92CED" w:rsidRDefault="003300F2" w:rsidP="00B63C54">
            <w:pPr>
              <w:rPr>
                <w:lang w:val="fr-CA"/>
              </w:rPr>
            </w:pPr>
            <w:r w:rsidRPr="00A92CED">
              <w:rPr>
                <w:lang w:val="fr-CA"/>
              </w:rPr>
              <w:t>Modifier l’article 135 afin de répertorier l’assemblage de caissons de déploiement pour pylône de déclenchement d’avalanches en tant qu’activité de la section 3 et d’ajouter une nouvelle exigence stipulant qu’une personne qui satisfait aux exigences ci-après peut assembler des caissons de déploiement pour pylône de déclenchement d’avalanches :</w:t>
            </w:r>
          </w:p>
          <w:p w14:paraId="33D3978C" w14:textId="3B1CCCA9" w:rsidR="003300F2" w:rsidRPr="00A92CED" w:rsidRDefault="003300F2" w:rsidP="00B63C54">
            <w:pPr>
              <w:pStyle w:val="ListParagraph"/>
              <w:numPr>
                <w:ilvl w:val="0"/>
                <w:numId w:val="14"/>
              </w:numPr>
              <w:rPr>
                <w:lang w:val="fr-CA"/>
              </w:rPr>
            </w:pPr>
            <w:r w:rsidRPr="00A92CED">
              <w:rPr>
                <w:lang w:val="fr-CA"/>
              </w:rPr>
              <w:t xml:space="preserve">Les caissons de déploiement sont assemblés immédiatement avant d’être transportés vers le pylône de déclenchement d’avalanches; </w:t>
            </w:r>
          </w:p>
          <w:p w14:paraId="5769A2BC" w14:textId="61396B88" w:rsidR="003300F2" w:rsidRPr="00A92CED" w:rsidRDefault="003300F2" w:rsidP="00B63C54">
            <w:pPr>
              <w:pStyle w:val="ListParagraph"/>
              <w:numPr>
                <w:ilvl w:val="0"/>
                <w:numId w:val="14"/>
              </w:numPr>
              <w:rPr>
                <w:lang w:val="fr-CA"/>
              </w:rPr>
            </w:pPr>
            <w:r w:rsidRPr="00A92CED">
              <w:rPr>
                <w:lang w:val="fr-CA"/>
              </w:rPr>
              <w:t>L’assemblage des caissons de déploiement se fait le plus près possible de l’emplacement du pylône de déclenchement d’avalanches;</w:t>
            </w:r>
          </w:p>
          <w:p w14:paraId="6B0191C8" w14:textId="0B0D7E94" w:rsidR="003300F2" w:rsidRPr="00A92CED" w:rsidRDefault="003300F2" w:rsidP="00B63C54">
            <w:pPr>
              <w:pStyle w:val="ListParagraph"/>
              <w:numPr>
                <w:ilvl w:val="0"/>
                <w:numId w:val="14"/>
              </w:numPr>
              <w:rPr>
                <w:lang w:val="fr-CA"/>
              </w:rPr>
            </w:pPr>
            <w:r w:rsidRPr="00A92CED">
              <w:rPr>
                <w:lang w:val="fr-CA"/>
              </w:rPr>
              <w:t xml:space="preserve">L’assemblage des caissons de déploiement est effectué conformément aux pratiques exemplaires de l’industrie. </w:t>
            </w:r>
          </w:p>
        </w:tc>
        <w:tc>
          <w:tcPr>
            <w:tcW w:w="3143" w:type="dxa"/>
            <w:gridSpan w:val="2"/>
          </w:tcPr>
          <w:p w14:paraId="36428F4E" w14:textId="498969E9" w:rsidR="003300F2" w:rsidRPr="00A92CED" w:rsidRDefault="003300F2" w:rsidP="00817532">
            <w:pPr>
              <w:rPr>
                <w:rFonts w:ascii="Calibri" w:hAnsi="Calibri" w:cs="Calibri"/>
                <w:szCs w:val="24"/>
                <w:lang w:val="fr-CA"/>
              </w:rPr>
            </w:pPr>
            <w:r w:rsidRPr="00A92CED">
              <w:rPr>
                <w:lang w:val="fr-CA"/>
              </w:rPr>
              <w:t>Cet amendement proposé appuie l’intention de la politique de moderniser le Règlement et officialiserait les processus opérationnels actuels.</w:t>
            </w:r>
          </w:p>
        </w:tc>
        <w:tc>
          <w:tcPr>
            <w:tcW w:w="3087" w:type="dxa"/>
          </w:tcPr>
          <w:p w14:paraId="328081AC" w14:textId="77777777" w:rsidR="003300F2" w:rsidRPr="00A92CED" w:rsidRDefault="003300F2" w:rsidP="00817532">
            <w:pPr>
              <w:rPr>
                <w:rFonts w:ascii="Calibri" w:hAnsi="Calibri" w:cs="Calibri"/>
                <w:szCs w:val="24"/>
                <w:lang w:val="fr-CA"/>
              </w:rPr>
            </w:pPr>
          </w:p>
        </w:tc>
      </w:tr>
      <w:tr w:rsidR="00A92CED" w:rsidRPr="00A92CED" w14:paraId="1F172AE6" w14:textId="293EACBF" w:rsidTr="00E10233">
        <w:tc>
          <w:tcPr>
            <w:tcW w:w="3126" w:type="dxa"/>
          </w:tcPr>
          <w:p w14:paraId="7911D841" w14:textId="77777777" w:rsidR="003300F2" w:rsidRPr="00A92CED" w:rsidRDefault="003300F2">
            <w:pPr>
              <w:pStyle w:val="ListParagraph"/>
              <w:numPr>
                <w:ilvl w:val="0"/>
                <w:numId w:val="1"/>
              </w:numPr>
              <w:jc w:val="center"/>
              <w:rPr>
                <w:lang w:val="fr-CA"/>
              </w:rPr>
            </w:pPr>
          </w:p>
        </w:tc>
        <w:tc>
          <w:tcPr>
            <w:tcW w:w="3715" w:type="dxa"/>
          </w:tcPr>
          <w:p w14:paraId="257380D6" w14:textId="5B226955" w:rsidR="003300F2" w:rsidRPr="00A92CED" w:rsidRDefault="003300F2" w:rsidP="00817532">
            <w:pPr>
              <w:rPr>
                <w:rFonts w:ascii="Calibri" w:hAnsi="Calibri" w:cs="Calibri"/>
                <w:b/>
                <w:bCs/>
                <w:lang w:val="fr-CA"/>
              </w:rPr>
            </w:pPr>
            <w:r w:rsidRPr="00A92CED">
              <w:rPr>
                <w:rFonts w:ascii="Calibri" w:hAnsi="Calibri" w:cs="Calibri"/>
                <w:b/>
                <w:bCs/>
                <w:lang w:val="fr-CA"/>
              </w:rPr>
              <w:t xml:space="preserve">136 </w:t>
            </w:r>
            <w:r w:rsidRPr="00A92CED">
              <w:rPr>
                <w:rFonts w:ascii="Calibri" w:hAnsi="Calibri" w:cs="Calibri"/>
                <w:lang w:val="fr-CA"/>
              </w:rPr>
              <w:t>(1) Toute personne qui se conforme au paragraphe (2) peut effectuer les activités ci-après dans une mine ou dans un chantier de construction souterrains :</w:t>
            </w:r>
          </w:p>
          <w:p w14:paraId="065BE96C" w14:textId="45E14414" w:rsidR="003300F2" w:rsidRPr="00A92CED" w:rsidRDefault="003300F2" w:rsidP="00734871">
            <w:pPr>
              <w:ind w:left="720"/>
              <w:rPr>
                <w:rFonts w:ascii="Calibri" w:hAnsi="Calibri" w:cs="Calibri"/>
                <w:lang w:val="fr-CA"/>
              </w:rPr>
            </w:pPr>
            <w:r w:rsidRPr="00A92CED">
              <w:rPr>
                <w:rFonts w:ascii="Calibri" w:hAnsi="Calibri" w:cs="Calibri"/>
                <w:lang w:val="fr-CA"/>
              </w:rPr>
              <w:t>a)</w:t>
            </w:r>
            <w:r w:rsidRPr="00A92CED">
              <w:rPr>
                <w:rFonts w:ascii="Calibri" w:hAnsi="Calibri" w:cs="Calibri"/>
                <w:b/>
                <w:bCs/>
                <w:lang w:val="fr-CA"/>
              </w:rPr>
              <w:t xml:space="preserve"> </w:t>
            </w:r>
            <w:r w:rsidRPr="00A92CED">
              <w:rPr>
                <w:rFonts w:ascii="Calibri" w:hAnsi="Calibri" w:cs="Calibri"/>
                <w:lang w:val="fr-CA"/>
              </w:rPr>
              <w:t>le transfert pneumatique d’*explosifs;</w:t>
            </w:r>
            <w:r w:rsidRPr="00A92CED">
              <w:rPr>
                <w:rFonts w:ascii="Calibri" w:hAnsi="Calibri" w:cs="Calibri"/>
                <w:lang w:val="fr-CA"/>
              </w:rPr>
              <w:br/>
              <w:t>b)</w:t>
            </w:r>
            <w:r w:rsidRPr="00A92CED">
              <w:rPr>
                <w:rFonts w:ascii="Calibri" w:hAnsi="Calibri" w:cs="Calibri"/>
                <w:b/>
                <w:bCs/>
                <w:lang w:val="fr-CA"/>
              </w:rPr>
              <w:t xml:space="preserve"> </w:t>
            </w:r>
            <w:r w:rsidRPr="00A92CED">
              <w:rPr>
                <w:rFonts w:ascii="Calibri" w:hAnsi="Calibri" w:cs="Calibri"/>
                <w:lang w:val="fr-CA"/>
              </w:rPr>
              <w:t>le pompage, l’épaississement ou le gazage d’explosifs à émulsion ou d’explosifs en bouillie à base aqueuse pendant le chargement de trous de sautage;</w:t>
            </w:r>
          </w:p>
          <w:p w14:paraId="490C0542" w14:textId="17943682" w:rsidR="003300F2" w:rsidRPr="00A92CED" w:rsidRDefault="003300F2" w:rsidP="00734871">
            <w:pPr>
              <w:ind w:left="720"/>
              <w:rPr>
                <w:rFonts w:ascii="Calibri" w:hAnsi="Calibri" w:cs="Calibri"/>
                <w:lang w:val="fr-CA"/>
              </w:rPr>
            </w:pPr>
            <w:r w:rsidRPr="00A92CED">
              <w:rPr>
                <w:rFonts w:ascii="Calibri" w:hAnsi="Calibri" w:cs="Calibri"/>
                <w:lang w:val="fr-CA"/>
              </w:rPr>
              <w:t>c)</w:t>
            </w:r>
            <w:r w:rsidRPr="00A92CED">
              <w:rPr>
                <w:rFonts w:ascii="Calibri" w:hAnsi="Calibri" w:cs="Calibri"/>
                <w:b/>
                <w:bCs/>
                <w:lang w:val="fr-CA"/>
              </w:rPr>
              <w:t xml:space="preserve"> </w:t>
            </w:r>
            <w:r w:rsidRPr="00A92CED">
              <w:rPr>
                <w:rFonts w:ascii="Calibri" w:hAnsi="Calibri" w:cs="Calibri"/>
                <w:lang w:val="fr-CA"/>
              </w:rPr>
              <w:t>le mélange d’explosifs à émulsion ou d’explosifs en bouillie à base aqueuse avec du nitrate d’ammonium ou avec des mélanges de nitrate d’ammonium et de fuel-oil pendant le chargement de trous de sautage.</w:t>
            </w:r>
          </w:p>
          <w:p w14:paraId="349609C6" w14:textId="7B01D34F" w:rsidR="003300F2" w:rsidRPr="00A92CED" w:rsidRDefault="003300F2" w:rsidP="00B2428F">
            <w:pPr>
              <w:rPr>
                <w:rFonts w:ascii="Calibri" w:hAnsi="Calibri" w:cs="Calibri"/>
                <w:lang w:val="fr-CA"/>
              </w:rPr>
            </w:pPr>
          </w:p>
          <w:p w14:paraId="70CB2CCC" w14:textId="3D828159" w:rsidR="003300F2" w:rsidRPr="00A92CED" w:rsidRDefault="003300F2" w:rsidP="00817532">
            <w:pPr>
              <w:rPr>
                <w:rFonts w:ascii="Calibri" w:hAnsi="Calibri" w:cs="Calibri"/>
                <w:lang w:val="fr-CA"/>
              </w:rPr>
            </w:pPr>
            <w:r w:rsidRPr="00A92CED">
              <w:rPr>
                <w:rFonts w:ascii="Calibri" w:hAnsi="Calibri" w:cs="Calibri"/>
                <w:bCs/>
                <w:lang w:val="fr-CA"/>
              </w:rPr>
              <w:t xml:space="preserve">(2) </w:t>
            </w:r>
            <w:r w:rsidRPr="00A92CED">
              <w:rPr>
                <w:rFonts w:ascii="Calibri" w:hAnsi="Calibri" w:cs="Calibri"/>
                <w:lang w:val="fr-CA"/>
              </w:rPr>
              <w:t>La personne qui effectue les activités veille à ce que les exigences ci-après soient respectées :</w:t>
            </w:r>
          </w:p>
          <w:p w14:paraId="3CA22675" w14:textId="3F82FBC8" w:rsidR="003300F2" w:rsidRPr="00A92CED" w:rsidRDefault="003300F2" w:rsidP="005A5CA9">
            <w:pPr>
              <w:ind w:left="720"/>
              <w:rPr>
                <w:rFonts w:ascii="Calibri" w:hAnsi="Calibri" w:cs="Calibri"/>
                <w:bCs/>
                <w:lang w:val="fr-CA"/>
              </w:rPr>
            </w:pPr>
            <w:r w:rsidRPr="00A92CED">
              <w:rPr>
                <w:rFonts w:ascii="Calibri" w:hAnsi="Calibri" w:cs="Calibri"/>
                <w:lang w:val="fr-CA"/>
              </w:rPr>
              <w:t>a)</w:t>
            </w:r>
            <w:r w:rsidRPr="00A92CED">
              <w:rPr>
                <w:rFonts w:ascii="Calibri" w:hAnsi="Calibri" w:cs="Calibri"/>
                <w:b/>
                <w:bCs/>
                <w:lang w:val="fr-CA"/>
              </w:rPr>
              <w:t xml:space="preserve"> </w:t>
            </w:r>
            <w:r w:rsidRPr="00A92CED">
              <w:rPr>
                <w:rFonts w:ascii="Calibri" w:hAnsi="Calibri" w:cs="Calibri"/>
                <w:lang w:val="fr-CA"/>
              </w:rPr>
              <w:t>les explosifs sont sur la liste des explosifs autorisés mentionnée au paragraphe 41(1);</w:t>
            </w:r>
            <w:r w:rsidRPr="00A92CED">
              <w:rPr>
                <w:rFonts w:ascii="Calibri" w:hAnsi="Calibri" w:cs="Calibri"/>
                <w:lang w:val="fr-CA"/>
              </w:rPr>
              <w:br/>
              <w:t xml:space="preserve">b) l’équipement utilisé pour le pompage, l’épaississement, le gazage ou le mélange des </w:t>
            </w:r>
            <w:r w:rsidRPr="00A92CED">
              <w:rPr>
                <w:rFonts w:ascii="Calibri" w:hAnsi="Calibri" w:cs="Calibri"/>
                <w:lang w:val="fr-CA"/>
              </w:rPr>
              <w:lastRenderedPageBreak/>
              <w:t>explosifs à émulsion ou des explosifs en bouillie est conçu de manière à réduire au minimum la probabilité d’un allumage, notamment l’allumage résultant de problèmes liés aux pompes dont le tuyau de refoulement est obstrué ou de pompes qui tournent à sec;</w:t>
            </w:r>
            <w:r w:rsidRPr="00A92CED">
              <w:rPr>
                <w:rFonts w:ascii="Calibri" w:hAnsi="Calibri" w:cs="Calibri"/>
                <w:lang w:val="fr-CA"/>
              </w:rPr>
              <w:br/>
              <w:t>c)</w:t>
            </w:r>
            <w:r w:rsidRPr="00A92CED">
              <w:rPr>
                <w:rFonts w:ascii="Calibri" w:hAnsi="Calibri" w:cs="Calibri"/>
                <w:b/>
                <w:bCs/>
                <w:lang w:val="fr-CA"/>
              </w:rPr>
              <w:t xml:space="preserve"> </w:t>
            </w:r>
            <w:r w:rsidRPr="00A92CED">
              <w:rPr>
                <w:rFonts w:ascii="Calibri" w:hAnsi="Calibri" w:cs="Calibri"/>
                <w:lang w:val="fr-CA"/>
              </w:rPr>
              <w:t>les pompes à vis excentrée sont munies d’au moins eux mécanismes d’arrêt de sécurité indépendants servant à prévenir toute hausse de température excessive;</w:t>
            </w:r>
            <w:r w:rsidRPr="00A92CED">
              <w:rPr>
                <w:rFonts w:ascii="Calibri" w:hAnsi="Calibri" w:cs="Calibri"/>
                <w:lang w:val="fr-CA"/>
              </w:rPr>
              <w:br/>
              <w:t>d)</w:t>
            </w:r>
            <w:r w:rsidRPr="00A92CED">
              <w:rPr>
                <w:rFonts w:ascii="Calibri" w:hAnsi="Calibri" w:cs="Calibri"/>
                <w:b/>
                <w:bCs/>
                <w:lang w:val="fr-CA"/>
              </w:rPr>
              <w:t xml:space="preserve"> </w:t>
            </w:r>
            <w:r w:rsidRPr="00A92CED">
              <w:rPr>
                <w:rFonts w:ascii="Calibri" w:hAnsi="Calibri" w:cs="Calibri"/>
                <w:lang w:val="fr-CA"/>
              </w:rPr>
              <w:t>si la personne est aidée par une autre personne, cette dernière est formée pour faire fonctionner l’équipement;</w:t>
            </w:r>
            <w:r w:rsidRPr="00A92CED">
              <w:rPr>
                <w:rFonts w:ascii="Calibri" w:hAnsi="Calibri" w:cs="Calibri"/>
                <w:lang w:val="fr-CA"/>
              </w:rPr>
              <w:br/>
              <w:t>e) une procédure d’entretien préventif de l’équipement est mise en œuvre, notamment à l’égard des pompes utilisées pour les explosifs;</w:t>
            </w:r>
            <w:r w:rsidRPr="00A92CED">
              <w:rPr>
                <w:rFonts w:ascii="Calibri" w:hAnsi="Calibri" w:cs="Calibri"/>
                <w:lang w:val="fr-CA"/>
              </w:rPr>
              <w:br/>
              <w:t>f)</w:t>
            </w:r>
            <w:r w:rsidRPr="00A92CED">
              <w:rPr>
                <w:rFonts w:ascii="Calibri" w:hAnsi="Calibri" w:cs="Calibri"/>
                <w:b/>
                <w:bCs/>
                <w:lang w:val="fr-CA"/>
              </w:rPr>
              <w:t xml:space="preserve"> </w:t>
            </w:r>
            <w:r w:rsidRPr="00A92CED">
              <w:rPr>
                <w:rFonts w:ascii="Calibri" w:hAnsi="Calibri" w:cs="Calibri"/>
                <w:lang w:val="fr-CA"/>
              </w:rPr>
              <w:t>l’entretien est effectué par des travailleurs qui possèdent des connaissances à l’égard de l’équipement faisant l’objet de l’entretien;</w:t>
            </w:r>
            <w:r w:rsidRPr="00A92CED">
              <w:rPr>
                <w:rFonts w:ascii="Calibri" w:hAnsi="Calibri" w:cs="Calibri"/>
                <w:lang w:val="fr-CA"/>
              </w:rPr>
              <w:br/>
              <w:t>g)</w:t>
            </w:r>
            <w:r w:rsidRPr="00A92CED">
              <w:rPr>
                <w:rFonts w:ascii="Calibri" w:hAnsi="Calibri" w:cs="Calibri"/>
                <w:b/>
                <w:bCs/>
                <w:lang w:val="fr-CA"/>
              </w:rPr>
              <w:t xml:space="preserve"> </w:t>
            </w:r>
            <w:r w:rsidRPr="00A92CED">
              <w:rPr>
                <w:rFonts w:ascii="Calibri" w:hAnsi="Calibri" w:cs="Calibri"/>
                <w:lang w:val="fr-CA"/>
              </w:rPr>
              <w:t xml:space="preserve">des précautions qui réduisent au minimum la </w:t>
            </w:r>
            <w:r w:rsidRPr="00A92CED">
              <w:rPr>
                <w:rFonts w:ascii="Calibri" w:hAnsi="Calibri" w:cs="Calibri"/>
                <w:lang w:val="fr-CA"/>
              </w:rPr>
              <w:lastRenderedPageBreak/>
              <w:t>probabilité d’un allumage sont prises.</w:t>
            </w:r>
          </w:p>
        </w:tc>
        <w:tc>
          <w:tcPr>
            <w:tcW w:w="4076" w:type="dxa"/>
          </w:tcPr>
          <w:p w14:paraId="33AA1F43" w14:textId="0A9422BF" w:rsidR="003300F2" w:rsidRPr="00A92CED" w:rsidRDefault="003300F2" w:rsidP="003D245D">
            <w:pPr>
              <w:rPr>
                <w:lang w:val="fr-CA"/>
              </w:rPr>
            </w:pPr>
            <w:r w:rsidRPr="00A92CED">
              <w:rPr>
                <w:bCs/>
                <w:lang w:val="fr-CA"/>
              </w:rPr>
              <w:lastRenderedPageBreak/>
              <w:t xml:space="preserve">Modifier la section 3 de la partie 5 pour </w:t>
            </w:r>
            <w:r w:rsidR="003D245D" w:rsidRPr="00A92CED">
              <w:rPr>
                <w:bCs/>
                <w:lang w:val="fr-CA"/>
              </w:rPr>
              <w:t>annuler</w:t>
            </w:r>
            <w:r w:rsidRPr="00A92CED">
              <w:rPr>
                <w:bCs/>
                <w:lang w:val="fr-CA"/>
              </w:rPr>
              <w:t xml:space="preserve"> l’article 136.</w:t>
            </w:r>
          </w:p>
        </w:tc>
        <w:tc>
          <w:tcPr>
            <w:tcW w:w="3143" w:type="dxa"/>
            <w:gridSpan w:val="2"/>
          </w:tcPr>
          <w:p w14:paraId="207E0F21" w14:textId="249D1DF9" w:rsidR="003300F2" w:rsidRPr="00A92CED" w:rsidRDefault="003300F2" w:rsidP="00817532">
            <w:pPr>
              <w:rPr>
                <w:rFonts w:ascii="Calibri" w:hAnsi="Calibri" w:cs="Calibri"/>
                <w:szCs w:val="24"/>
                <w:lang w:val="fr-CA"/>
              </w:rPr>
            </w:pPr>
            <w:r w:rsidRPr="00A92CED">
              <w:rPr>
                <w:rFonts w:cstheme="minorHAnsi"/>
                <w:lang w:val="fr-CA"/>
              </w:rPr>
              <w:t>Cet amendement proposé vise à reclasser les activités de fabrication souterraine, qui ne nécessitent pas de licence ou de certificat, en activités de fabrique de la section 1 ou un certificat de site satellite, ce qui reflète mieux le risque lié aux activités de fabrication souterraine.</w:t>
            </w:r>
            <w:r w:rsidR="003D245D" w:rsidRPr="00A92CED">
              <w:rPr>
                <w:rFonts w:cstheme="minorHAnsi"/>
                <w:lang w:val="fr-CA"/>
              </w:rPr>
              <w:t xml:space="preserve"> </w:t>
            </w:r>
            <w:r w:rsidR="003D245D" w:rsidRPr="00A92CED">
              <w:rPr>
                <w:rFonts w:cstheme="minorHAnsi"/>
                <w:lang w:val="fr-CA"/>
              </w:rPr>
              <w:t>Le retrait de l’article</w:t>
            </w:r>
            <w:r w:rsidR="003D245D" w:rsidRPr="00A92CED">
              <w:rPr>
                <w:rFonts w:cstheme="minorHAnsi"/>
                <w:lang w:val="fr-CA"/>
              </w:rPr>
              <w:t> </w:t>
            </w:r>
            <w:r w:rsidR="003D245D" w:rsidRPr="00A92CED">
              <w:rPr>
                <w:rFonts w:cstheme="minorHAnsi"/>
                <w:lang w:val="fr-CA"/>
              </w:rPr>
              <w:t>136 d</w:t>
            </w:r>
            <w:r w:rsidR="003D245D" w:rsidRPr="00A92CED">
              <w:rPr>
                <w:rFonts w:cstheme="minorHAnsi"/>
                <w:lang w:val="fr-CA"/>
              </w:rPr>
              <w:t>e la section </w:t>
            </w:r>
            <w:r w:rsidR="003D245D" w:rsidRPr="00A92CED">
              <w:rPr>
                <w:rFonts w:cstheme="minorHAnsi"/>
                <w:lang w:val="fr-CA"/>
              </w:rPr>
              <w:t>3 ferait en sorte que ces activités de fabrication souterraine seraient visées par l</w:t>
            </w:r>
            <w:r w:rsidR="003D245D" w:rsidRPr="00A92CED">
              <w:rPr>
                <w:rFonts w:cstheme="minorHAnsi"/>
                <w:lang w:val="fr-CA"/>
              </w:rPr>
              <w:t>a section </w:t>
            </w:r>
            <w:r w:rsidR="003D245D" w:rsidRPr="00A92CED">
              <w:rPr>
                <w:rFonts w:cstheme="minorHAnsi"/>
                <w:lang w:val="fr-CA"/>
              </w:rPr>
              <w:t>1.</w:t>
            </w:r>
          </w:p>
        </w:tc>
        <w:tc>
          <w:tcPr>
            <w:tcW w:w="3087" w:type="dxa"/>
          </w:tcPr>
          <w:p w14:paraId="6475DF6B" w14:textId="77777777" w:rsidR="003300F2" w:rsidRPr="00A92CED" w:rsidRDefault="003300F2" w:rsidP="00817532">
            <w:pPr>
              <w:rPr>
                <w:rFonts w:ascii="Calibri" w:hAnsi="Calibri" w:cs="Calibri"/>
                <w:szCs w:val="24"/>
                <w:lang w:val="fr-CA"/>
              </w:rPr>
            </w:pPr>
          </w:p>
        </w:tc>
      </w:tr>
      <w:tr w:rsidR="00A92CED" w:rsidRPr="00A92CED" w14:paraId="11F42C7D" w14:textId="19090961" w:rsidTr="00F47EB0">
        <w:tc>
          <w:tcPr>
            <w:tcW w:w="17147" w:type="dxa"/>
            <w:gridSpan w:val="6"/>
            <w:shd w:val="clear" w:color="auto" w:fill="D9D9D9" w:themeFill="background1" w:themeFillShade="D9"/>
          </w:tcPr>
          <w:p w14:paraId="0AB98B3C" w14:textId="5994BCFD" w:rsidR="003300F2" w:rsidRPr="00A92CED" w:rsidRDefault="003300F2" w:rsidP="00562A4E">
            <w:pPr>
              <w:spacing w:before="60" w:after="60"/>
              <w:jc w:val="center"/>
              <w:rPr>
                <w:rFonts w:ascii="Arial" w:hAnsi="Arial" w:cs="Arial"/>
                <w:b/>
                <w:sz w:val="24"/>
                <w:szCs w:val="24"/>
                <w:lang w:val="fr-CA"/>
              </w:rPr>
            </w:pPr>
            <w:r w:rsidRPr="00A92CED">
              <w:rPr>
                <w:rFonts w:ascii="Arial" w:hAnsi="Arial" w:cs="Arial"/>
                <w:b/>
                <w:sz w:val="24"/>
                <w:szCs w:val="24"/>
                <w:lang w:val="fr-CA"/>
              </w:rPr>
              <w:lastRenderedPageBreak/>
              <w:t>PARTIE 6 – Licences de poudrière et stockage dans une poudrière agréée</w:t>
            </w:r>
          </w:p>
        </w:tc>
      </w:tr>
      <w:tr w:rsidR="00A92CED" w:rsidRPr="00A92CED" w14:paraId="600BFE76" w14:textId="0B1F2ABB" w:rsidTr="00E10233">
        <w:tc>
          <w:tcPr>
            <w:tcW w:w="3126" w:type="dxa"/>
          </w:tcPr>
          <w:p w14:paraId="437CE483" w14:textId="77777777" w:rsidR="003300F2" w:rsidRPr="00A92CED" w:rsidRDefault="003300F2" w:rsidP="00B811AC">
            <w:pPr>
              <w:pStyle w:val="ListParagraph"/>
              <w:numPr>
                <w:ilvl w:val="0"/>
                <w:numId w:val="1"/>
              </w:numPr>
              <w:jc w:val="center"/>
              <w:rPr>
                <w:lang w:val="fr-CA"/>
              </w:rPr>
            </w:pPr>
          </w:p>
        </w:tc>
        <w:tc>
          <w:tcPr>
            <w:tcW w:w="3715" w:type="dxa"/>
          </w:tcPr>
          <w:p w14:paraId="29575D5E" w14:textId="22FD928C" w:rsidR="003300F2" w:rsidRPr="00A92CED" w:rsidRDefault="003300F2" w:rsidP="00B811AC">
            <w:pPr>
              <w:autoSpaceDE w:val="0"/>
              <w:autoSpaceDN w:val="0"/>
              <w:adjustRightInd w:val="0"/>
              <w:rPr>
                <w:rFonts w:ascii="Calibri" w:hAnsi="Calibri" w:cs="Calibri"/>
                <w:b/>
                <w:bCs/>
                <w:lang w:val="fr-CA"/>
              </w:rPr>
            </w:pPr>
            <w:r w:rsidRPr="00A92CED">
              <w:rPr>
                <w:rFonts w:ascii="Calibri" w:hAnsi="Calibri" w:cs="Calibri"/>
                <w:b/>
                <w:bCs/>
                <w:lang w:val="fr-CA"/>
              </w:rPr>
              <w:t xml:space="preserve">144 </w:t>
            </w:r>
            <w:r w:rsidRPr="00A92CED">
              <w:rPr>
                <w:rFonts w:ascii="Calibri" w:hAnsi="Calibri" w:cs="Calibri"/>
                <w:lang w:val="fr-CA"/>
              </w:rPr>
              <w:t>Les définitions qui suivent s’appliquent à la présente partie.</w:t>
            </w:r>
          </w:p>
        </w:tc>
        <w:tc>
          <w:tcPr>
            <w:tcW w:w="4076" w:type="dxa"/>
          </w:tcPr>
          <w:p w14:paraId="64AC1B80" w14:textId="164CFBE7" w:rsidR="003300F2" w:rsidRPr="00A92CED" w:rsidRDefault="003300F2" w:rsidP="00B811AC">
            <w:pPr>
              <w:rPr>
                <w:lang w:val="fr-CA"/>
              </w:rPr>
            </w:pPr>
            <w:r w:rsidRPr="00A92CED">
              <w:rPr>
                <w:lang w:val="fr-CA"/>
              </w:rPr>
              <w:t xml:space="preserve">Modifier l’article 144 pour ajouter les définitions suivantes : </w:t>
            </w:r>
          </w:p>
          <w:p w14:paraId="39A7FC0E" w14:textId="77777777" w:rsidR="003300F2" w:rsidRPr="00A92CED" w:rsidRDefault="003300F2" w:rsidP="00B811AC">
            <w:pPr>
              <w:rPr>
                <w:lang w:val="fr-CA"/>
              </w:rPr>
            </w:pPr>
          </w:p>
          <w:p w14:paraId="7C7D76E7" w14:textId="433D248E" w:rsidR="003300F2" w:rsidRPr="00A92CED" w:rsidRDefault="003300F2" w:rsidP="00B811AC">
            <w:pPr>
              <w:ind w:left="720"/>
              <w:rPr>
                <w:lang w:val="fr-CA"/>
              </w:rPr>
            </w:pPr>
            <w:r w:rsidRPr="00A92CED">
              <w:rPr>
                <w:b/>
                <w:bCs/>
                <w:i/>
                <w:iCs/>
                <w:lang w:val="fr-CA"/>
              </w:rPr>
              <w:t xml:space="preserve">licence d’expédition directe </w:t>
            </w:r>
            <w:r w:rsidRPr="00A92CED">
              <w:rPr>
                <w:lang w:val="fr-CA"/>
              </w:rPr>
              <w:t xml:space="preserve">Sous-type de licence de poudrière (vendeur) délivrée en vertu de l’alinéa 7(1)a) de la </w:t>
            </w:r>
            <w:r w:rsidRPr="00A92CED">
              <w:rPr>
                <w:i/>
                <w:iCs/>
                <w:lang w:val="fr-CA"/>
              </w:rPr>
              <w:t>Loi sur les explosifs</w:t>
            </w:r>
            <w:r w:rsidRPr="00A92CED">
              <w:rPr>
                <w:lang w:val="fr-CA"/>
              </w:rPr>
              <w:t xml:space="preserve"> et autorisant l’</w:t>
            </w:r>
            <w:r w:rsidR="003D245D" w:rsidRPr="00A92CED">
              <w:rPr>
                <w:lang w:val="fr-CA"/>
              </w:rPr>
              <w:t xml:space="preserve">acquisition </w:t>
            </w:r>
            <w:r w:rsidRPr="00A92CED">
              <w:rPr>
                <w:lang w:val="fr-CA"/>
              </w:rPr>
              <w:t xml:space="preserve">d’explosifs </w:t>
            </w:r>
            <w:r w:rsidR="003D245D" w:rsidRPr="00A92CED">
              <w:rPr>
                <w:lang w:val="fr-CA"/>
              </w:rPr>
              <w:t>pour la vente, aux fins de l’exécution des commandes d’explosifs.</w:t>
            </w:r>
          </w:p>
          <w:p w14:paraId="7447899B" w14:textId="77777777" w:rsidR="003300F2" w:rsidRPr="00A92CED" w:rsidRDefault="003300F2" w:rsidP="00B811AC">
            <w:pPr>
              <w:ind w:left="720"/>
              <w:rPr>
                <w:lang w:val="fr-CA"/>
              </w:rPr>
            </w:pPr>
          </w:p>
          <w:p w14:paraId="67493151" w14:textId="44F04D63" w:rsidR="003300F2" w:rsidRPr="00A92CED" w:rsidRDefault="003300F2" w:rsidP="00B811AC">
            <w:pPr>
              <w:ind w:left="720"/>
              <w:rPr>
                <w:lang w:val="fr-CA"/>
              </w:rPr>
            </w:pPr>
            <w:r w:rsidRPr="00A92CED">
              <w:rPr>
                <w:b/>
                <w:bCs/>
                <w:i/>
                <w:iCs/>
                <w:lang w:val="fr-CA"/>
              </w:rPr>
              <w:t>titulaire de la licence principale</w:t>
            </w:r>
            <w:r w:rsidRPr="00A92CED">
              <w:rPr>
                <w:lang w:val="fr-CA"/>
              </w:rPr>
              <w:t xml:space="preserve"> S’entend du titulaire d’une licence de fabrique, d’une licence de poudrière (vendeur) ou d’une licence de poudrière (utilisateur) qui peut autoriser les titulaires de licences partagées à stocker des explosifs dans la poudrière du titulaire de la licence principale. (</w:t>
            </w:r>
            <w:r w:rsidRPr="00A92CED">
              <w:rPr>
                <w:i/>
                <w:iCs/>
                <w:lang w:val="fr-CA"/>
              </w:rPr>
              <w:t>main licence holder</w:t>
            </w:r>
            <w:r w:rsidRPr="00A92CED">
              <w:rPr>
                <w:lang w:val="fr-CA"/>
              </w:rPr>
              <w:t>)</w:t>
            </w:r>
          </w:p>
          <w:p w14:paraId="6C5E1ABD" w14:textId="77777777" w:rsidR="003300F2" w:rsidRPr="00A92CED" w:rsidRDefault="003300F2" w:rsidP="00B811AC">
            <w:pPr>
              <w:ind w:left="720"/>
              <w:rPr>
                <w:lang w:val="fr-CA"/>
              </w:rPr>
            </w:pPr>
          </w:p>
          <w:p w14:paraId="17A5A895" w14:textId="0755A5CD" w:rsidR="003300F2" w:rsidRPr="00A92CED" w:rsidRDefault="003300F2" w:rsidP="00B811AC">
            <w:pPr>
              <w:ind w:left="720"/>
              <w:rPr>
                <w:lang w:val="fr-CA"/>
              </w:rPr>
            </w:pPr>
            <w:r w:rsidRPr="00A92CED">
              <w:rPr>
                <w:b/>
                <w:bCs/>
                <w:i/>
                <w:iCs/>
                <w:lang w:val="fr-CA"/>
              </w:rPr>
              <w:t>licence partagée</w:t>
            </w:r>
            <w:r w:rsidRPr="00A92CED">
              <w:rPr>
                <w:lang w:val="fr-CA"/>
              </w:rPr>
              <w:t xml:space="preserve"> Sous-type de licence de poudrière (utilisateur) ou de licence de poudrière (vendeur) délivrée en vertu de l’alinéa 7(1)a) de la </w:t>
            </w:r>
            <w:r w:rsidRPr="00A92CED">
              <w:rPr>
                <w:i/>
                <w:iCs/>
                <w:lang w:val="fr-CA"/>
              </w:rPr>
              <w:t>Loi sur les explosifs</w:t>
            </w:r>
            <w:r w:rsidRPr="00A92CED">
              <w:rPr>
                <w:lang w:val="fr-CA"/>
              </w:rPr>
              <w:t xml:space="preserve"> et autorisant le stockage </w:t>
            </w:r>
            <w:r w:rsidRPr="00A92CED">
              <w:rPr>
                <w:lang w:val="fr-CA"/>
              </w:rPr>
              <w:lastRenderedPageBreak/>
              <w:t>d’explosifs dans la poudrière ou les poudrières du titulaire de la licence principale. (</w:t>
            </w:r>
            <w:r w:rsidRPr="00A92CED">
              <w:rPr>
                <w:i/>
                <w:iCs/>
                <w:lang w:val="fr-CA"/>
              </w:rPr>
              <w:t>shared licence</w:t>
            </w:r>
            <w:r w:rsidRPr="00A92CED">
              <w:rPr>
                <w:lang w:val="fr-CA"/>
              </w:rPr>
              <w:t xml:space="preserve">) </w:t>
            </w:r>
          </w:p>
        </w:tc>
        <w:tc>
          <w:tcPr>
            <w:tcW w:w="3143" w:type="dxa"/>
            <w:gridSpan w:val="2"/>
          </w:tcPr>
          <w:p w14:paraId="49410FE7" w14:textId="068F096F" w:rsidR="003300F2" w:rsidRPr="00A92CED" w:rsidRDefault="003300F2" w:rsidP="00B811AC">
            <w:pPr>
              <w:rPr>
                <w:lang w:val="fr-CA"/>
              </w:rPr>
            </w:pPr>
            <w:r w:rsidRPr="00A92CED">
              <w:rPr>
                <w:lang w:val="fr-CA"/>
              </w:rPr>
              <w:lastRenderedPageBreak/>
              <w:t>Ces amendements proposés visent à officialiser les pratiques existantes en inscrivant dans le Règlement ces types de licences, qui sont actuellement délivrées par le biais des conditions d’octroi des licences.</w:t>
            </w:r>
          </w:p>
        </w:tc>
        <w:tc>
          <w:tcPr>
            <w:tcW w:w="3087" w:type="dxa"/>
          </w:tcPr>
          <w:p w14:paraId="45B708AC" w14:textId="77777777" w:rsidR="003300F2" w:rsidRPr="00A92CED" w:rsidRDefault="003300F2" w:rsidP="00B811AC">
            <w:pPr>
              <w:rPr>
                <w:lang w:val="fr-CA"/>
              </w:rPr>
            </w:pPr>
          </w:p>
        </w:tc>
      </w:tr>
      <w:tr w:rsidR="00A92CED" w:rsidRPr="00A92CED" w14:paraId="1806EA19" w14:textId="77777777" w:rsidTr="00E10233">
        <w:tc>
          <w:tcPr>
            <w:tcW w:w="3126" w:type="dxa"/>
          </w:tcPr>
          <w:p w14:paraId="277B5ADD" w14:textId="77777777" w:rsidR="003300F2" w:rsidRPr="00A92CED" w:rsidRDefault="003300F2" w:rsidP="00B811AC">
            <w:pPr>
              <w:pStyle w:val="ListParagraph"/>
              <w:numPr>
                <w:ilvl w:val="0"/>
                <w:numId w:val="1"/>
              </w:numPr>
              <w:jc w:val="center"/>
              <w:rPr>
                <w:lang w:val="fr-CA"/>
              </w:rPr>
            </w:pPr>
          </w:p>
        </w:tc>
        <w:tc>
          <w:tcPr>
            <w:tcW w:w="3715" w:type="dxa"/>
          </w:tcPr>
          <w:p w14:paraId="4259A57B" w14:textId="454AC44C" w:rsidR="003300F2" w:rsidRPr="00A92CED" w:rsidRDefault="003300F2" w:rsidP="00B811AC">
            <w:pPr>
              <w:rPr>
                <w:rFonts w:ascii="Calibri" w:hAnsi="Calibri" w:cs="Calibri"/>
                <w:b/>
                <w:bCs/>
                <w:lang w:val="fr-CA"/>
              </w:rPr>
            </w:pPr>
            <w:r w:rsidRPr="00A92CED">
              <w:rPr>
                <w:rFonts w:ascii="Calibri" w:hAnsi="Calibri" w:cs="Calibri"/>
                <w:b/>
                <w:bCs/>
                <w:lang w:val="fr-CA"/>
              </w:rPr>
              <w:t xml:space="preserve">145 </w:t>
            </w:r>
            <w:r w:rsidRPr="00A92CED">
              <w:rPr>
                <w:rFonts w:ascii="Calibri" w:hAnsi="Calibri" w:cs="Calibri"/>
                <w:lang w:val="fr-CA"/>
              </w:rPr>
              <w:t>(1)</w:t>
            </w:r>
            <w:r w:rsidRPr="00A92CED">
              <w:rPr>
                <w:rFonts w:ascii="Calibri" w:hAnsi="Calibri" w:cs="Calibri"/>
                <w:b/>
                <w:bCs/>
                <w:lang w:val="fr-CA"/>
              </w:rPr>
              <w:t xml:space="preserve"> </w:t>
            </w:r>
            <w:r w:rsidRPr="00A92CED">
              <w:rPr>
                <w:rFonts w:ascii="Calibri" w:hAnsi="Calibri" w:cs="Calibri"/>
                <w:lang w:val="fr-CA"/>
              </w:rPr>
              <w:t>Le demandeur d’une licence de poudrière remplit, signe et fait parvenir à l’inspecteur en chef des explosifs le formulaire de demande fourni par le ministère des Ressources naturelles. La demande indique le type de licence demandé, soit une licence de poudrière (vendeur), une licence de poudrière (utilisateur) ou une licence de poudrière (utilisateur-zone), et contient les renseignements suivants :</w:t>
            </w:r>
          </w:p>
        </w:tc>
        <w:tc>
          <w:tcPr>
            <w:tcW w:w="4076" w:type="dxa"/>
          </w:tcPr>
          <w:p w14:paraId="042E2752" w14:textId="5FA4BA01" w:rsidR="003300F2" w:rsidRPr="00A92CED" w:rsidRDefault="003300F2" w:rsidP="00B811AC">
            <w:pPr>
              <w:rPr>
                <w:lang w:val="fr-CA"/>
              </w:rPr>
            </w:pPr>
            <w:r w:rsidRPr="00A92CED">
              <w:rPr>
                <w:lang w:val="fr-CA"/>
              </w:rPr>
              <w:t xml:space="preserve">Modifier le paragraphe 145(1) pour remplacer </w:t>
            </w:r>
            <w:r w:rsidRPr="00A92CED">
              <w:rPr>
                <w:rFonts w:cstheme="minorHAnsi"/>
                <w:lang w:val="fr-CA"/>
              </w:rPr>
              <w:t>« une licence de poudrière (vendeur), une licence de poudrière (utilisateur) ou une licence de poudrière (utilisateur-zone) </w:t>
            </w:r>
            <w:r w:rsidRPr="00A92CED">
              <w:rPr>
                <w:rFonts w:ascii="Calibri" w:hAnsi="Calibri" w:cs="Calibri"/>
                <w:lang w:val="fr-CA"/>
              </w:rPr>
              <w:t xml:space="preserve">» par </w:t>
            </w:r>
            <w:r w:rsidRPr="00A92CED">
              <w:rPr>
                <w:rFonts w:cstheme="minorHAnsi"/>
                <w:lang w:val="fr-CA"/>
              </w:rPr>
              <w:t>« une licence de poudrière (vendeur), une licence de poudrière (utilisateur), une licence de poudrière (utilisateur-zone), une licence partagée ou une licence d’expédition directe </w:t>
            </w:r>
            <w:r w:rsidRPr="00A92CED">
              <w:rPr>
                <w:rFonts w:ascii="Calibri" w:hAnsi="Calibri" w:cs="Calibri"/>
                <w:lang w:val="fr-CA"/>
              </w:rPr>
              <w:t>».</w:t>
            </w:r>
          </w:p>
        </w:tc>
        <w:tc>
          <w:tcPr>
            <w:tcW w:w="3143" w:type="dxa"/>
            <w:gridSpan w:val="2"/>
          </w:tcPr>
          <w:p w14:paraId="79A71AC6" w14:textId="1338EA69" w:rsidR="003300F2" w:rsidRPr="00A92CED" w:rsidRDefault="003300F2" w:rsidP="00B811AC">
            <w:pPr>
              <w:rPr>
                <w:lang w:val="fr-CA"/>
              </w:rPr>
            </w:pPr>
            <w:r w:rsidRPr="00A92CED">
              <w:rPr>
                <w:lang w:val="fr-CA"/>
              </w:rPr>
              <w:t xml:space="preserve">Ces amendements proposés appuient les amendements qu’il est proposé d’apporter à l’article 144, au point 49 du présent document de consultation, pour créer de nouvelles définitions de </w:t>
            </w:r>
            <w:r w:rsidRPr="00A92CED">
              <w:rPr>
                <w:rFonts w:cstheme="minorHAnsi"/>
                <w:lang w:val="fr-CA"/>
              </w:rPr>
              <w:t>« licence partagée </w:t>
            </w:r>
            <w:r w:rsidRPr="00A92CED">
              <w:rPr>
                <w:rFonts w:ascii="Calibri" w:hAnsi="Calibri" w:cs="Calibri"/>
                <w:lang w:val="fr-CA"/>
              </w:rPr>
              <w:t xml:space="preserve">» et </w:t>
            </w:r>
            <w:r w:rsidRPr="00A92CED">
              <w:rPr>
                <w:rFonts w:cstheme="minorHAnsi"/>
                <w:lang w:val="fr-CA"/>
              </w:rPr>
              <w:t xml:space="preserve">« licence d’expédition directe » en ajoutant ces deux types de licence à la liste des licences qui peuvent être demandées en vertu du paragraphe 145(1). </w:t>
            </w:r>
          </w:p>
        </w:tc>
        <w:tc>
          <w:tcPr>
            <w:tcW w:w="3087" w:type="dxa"/>
          </w:tcPr>
          <w:p w14:paraId="1ABB21A8" w14:textId="77777777" w:rsidR="003300F2" w:rsidRPr="00A92CED" w:rsidRDefault="003300F2" w:rsidP="00B811AC">
            <w:pPr>
              <w:rPr>
                <w:lang w:val="fr-CA"/>
              </w:rPr>
            </w:pPr>
          </w:p>
        </w:tc>
      </w:tr>
      <w:tr w:rsidR="00A92CED" w:rsidRPr="00A92CED" w14:paraId="35719495" w14:textId="19D485EE" w:rsidTr="00E10233">
        <w:tc>
          <w:tcPr>
            <w:tcW w:w="3126" w:type="dxa"/>
          </w:tcPr>
          <w:p w14:paraId="0807EF3D" w14:textId="77777777" w:rsidR="003300F2" w:rsidRPr="00A92CED" w:rsidRDefault="003300F2" w:rsidP="00B811AC">
            <w:pPr>
              <w:pStyle w:val="ListParagraph"/>
              <w:numPr>
                <w:ilvl w:val="0"/>
                <w:numId w:val="1"/>
              </w:numPr>
              <w:jc w:val="center"/>
              <w:rPr>
                <w:lang w:val="fr-CA"/>
              </w:rPr>
            </w:pPr>
          </w:p>
        </w:tc>
        <w:tc>
          <w:tcPr>
            <w:tcW w:w="3715" w:type="dxa"/>
          </w:tcPr>
          <w:p w14:paraId="04536031" w14:textId="17CA7A74" w:rsidR="003300F2" w:rsidRPr="00A92CED" w:rsidRDefault="003300F2" w:rsidP="00B811AC">
            <w:pPr>
              <w:autoSpaceDE w:val="0"/>
              <w:autoSpaceDN w:val="0"/>
              <w:adjustRightInd w:val="0"/>
              <w:rPr>
                <w:rFonts w:ascii="Calibri" w:hAnsi="Calibri" w:cs="Calibri"/>
                <w:lang w:val="fr-CA"/>
              </w:rPr>
            </w:pPr>
            <w:r w:rsidRPr="00A92CED">
              <w:rPr>
                <w:rFonts w:ascii="Calibri" w:hAnsi="Calibri" w:cs="Calibri"/>
                <w:b/>
                <w:bCs/>
                <w:lang w:val="fr-CA"/>
              </w:rPr>
              <w:t xml:space="preserve">145 </w:t>
            </w:r>
            <w:r w:rsidRPr="00A92CED">
              <w:rPr>
                <w:rFonts w:ascii="Calibri" w:hAnsi="Calibri" w:cs="Calibri"/>
                <w:lang w:val="fr-CA"/>
              </w:rPr>
              <w:t>(3) La demande contient les renseignements ci-après à l’égard du site :</w:t>
            </w:r>
          </w:p>
          <w:p w14:paraId="3371BAD2" w14:textId="4B220ACB" w:rsidR="003300F2" w:rsidRPr="00A92CED" w:rsidRDefault="003300F2" w:rsidP="00B811AC">
            <w:pPr>
              <w:autoSpaceDE w:val="0"/>
              <w:autoSpaceDN w:val="0"/>
              <w:adjustRightInd w:val="0"/>
              <w:ind w:left="720"/>
              <w:rPr>
                <w:rFonts w:ascii="Calibri" w:hAnsi="Calibri" w:cs="Calibri"/>
                <w:b/>
                <w:lang w:val="fr-CA"/>
              </w:rPr>
            </w:pPr>
            <w:r w:rsidRPr="00A92CED">
              <w:rPr>
                <w:rFonts w:ascii="Calibri" w:hAnsi="Calibri" w:cs="Calibri"/>
                <w:lang w:val="fr-CA"/>
              </w:rPr>
              <w:t xml:space="preserve">d) la distance minimale, en mètres, qui doit être maintenue entre chaque poudrière et chaque lieu vulnérable indiqué sur le plan du site, comme l’indique la norme nationale du Canada CAN/BNQ 2910–510/2015 intitulée </w:t>
            </w:r>
            <w:r w:rsidRPr="00A92CED">
              <w:rPr>
                <w:rFonts w:ascii="Calibri" w:hAnsi="Calibri" w:cs="Calibri"/>
                <w:i/>
                <w:iCs/>
                <w:lang w:val="fr-CA"/>
              </w:rPr>
              <w:t>Explosifs — Distances par rapport à la quantité d’explosifs</w:t>
            </w:r>
            <w:r w:rsidRPr="00A92CED">
              <w:rPr>
                <w:rFonts w:ascii="Calibri" w:hAnsi="Calibri" w:cs="Calibri"/>
                <w:lang w:val="fr-CA"/>
              </w:rPr>
              <w:t>, avec ses modifications successives;</w:t>
            </w:r>
          </w:p>
        </w:tc>
        <w:tc>
          <w:tcPr>
            <w:tcW w:w="4076" w:type="dxa"/>
          </w:tcPr>
          <w:p w14:paraId="43857430" w14:textId="4959C705" w:rsidR="003D245D" w:rsidRPr="00A92CED" w:rsidRDefault="003300F2" w:rsidP="003D245D">
            <w:pPr>
              <w:rPr>
                <w:rFonts w:ascii="Calibri" w:eastAsia="Calibri" w:hAnsi="Calibri" w:cs="Times New Roman"/>
                <w:bCs/>
                <w:lang w:val="fr-CA"/>
              </w:rPr>
            </w:pPr>
            <w:r w:rsidRPr="00A92CED">
              <w:rPr>
                <w:bCs/>
                <w:lang w:val="fr-CA"/>
              </w:rPr>
              <w:t xml:space="preserve">Modifier l’alinéa 145(3)d) </w:t>
            </w:r>
            <w:r w:rsidR="003D245D" w:rsidRPr="00A92CED">
              <w:rPr>
                <w:rFonts w:ascii="Calibri" w:eastAsia="Calibri" w:hAnsi="Calibri" w:cs="Times New Roman"/>
                <w:bCs/>
                <w:lang w:val="fr-CA"/>
              </w:rPr>
              <w:t>pour préciser que la demande doit comprendre les renseignements suivants au sujet du site :</w:t>
            </w:r>
          </w:p>
          <w:p w14:paraId="2D18E4F4" w14:textId="36C108F8" w:rsidR="003300F2" w:rsidRPr="00A92CED" w:rsidRDefault="003D245D" w:rsidP="003D245D">
            <w:pPr>
              <w:ind w:left="389"/>
              <w:rPr>
                <w:lang w:val="fr-CA"/>
              </w:rPr>
            </w:pPr>
            <w:r w:rsidRPr="00A92CED">
              <w:rPr>
                <w:rFonts w:ascii="Calibri" w:eastAsia="Calibri" w:hAnsi="Calibri" w:cs="Calibri"/>
                <w:lang w:val="fr-CA"/>
              </w:rPr>
              <w:t>La d</w:t>
            </w:r>
            <w:r w:rsidRPr="00A92CED">
              <w:rPr>
                <w:rFonts w:ascii="Calibri" w:eastAsia="Calibri" w:hAnsi="Calibri" w:cs="Calibri"/>
                <w:lang w:val="fr-CA"/>
              </w:rPr>
              <w:t xml:space="preserve">istance en mètres entre chaque </w:t>
            </w:r>
            <w:r w:rsidRPr="00A92CED">
              <w:rPr>
                <w:rFonts w:ascii="Calibri" w:eastAsia="Calibri" w:hAnsi="Calibri" w:cs="Calibri"/>
                <w:lang w:val="fr-CA"/>
              </w:rPr>
              <w:t>poudrière</w:t>
            </w:r>
            <w:r w:rsidRPr="00A92CED">
              <w:rPr>
                <w:rFonts w:ascii="Calibri" w:eastAsia="Calibri" w:hAnsi="Calibri" w:cs="Calibri"/>
                <w:lang w:val="fr-CA"/>
              </w:rPr>
              <w:t xml:space="preserve"> sur le site et chaque endroit vulnérable indiqué sur le plan de secteur.</w:t>
            </w:r>
          </w:p>
        </w:tc>
        <w:tc>
          <w:tcPr>
            <w:tcW w:w="3143" w:type="dxa"/>
            <w:gridSpan w:val="2"/>
          </w:tcPr>
          <w:p w14:paraId="2F14363D" w14:textId="73034643" w:rsidR="003300F2" w:rsidRPr="00A92CED" w:rsidRDefault="00E608AA" w:rsidP="00E608AA">
            <w:pPr>
              <w:rPr>
                <w:lang w:val="fr-CA"/>
              </w:rPr>
            </w:pPr>
            <w:r w:rsidRPr="00A92CED">
              <w:rPr>
                <w:lang w:val="fr-CA"/>
              </w:rPr>
              <w:t xml:space="preserve">La modification proposée vise à préciser que les distances minimales de la norme nationale du Canada CAN/BNQ 2910-510/2015 intitulée </w:t>
            </w:r>
            <w:r w:rsidRPr="00A92CED">
              <w:rPr>
                <w:i/>
                <w:lang w:val="fr-CA"/>
              </w:rPr>
              <w:t>Explosifs — Distances de</w:t>
            </w:r>
            <w:r w:rsidRPr="00A92CED">
              <w:rPr>
                <w:lang w:val="fr-CA"/>
              </w:rPr>
              <w:t xml:space="preserve"> sécurité, avec ses modifications successives, ne doivent pas toujours être respectées. pourvu qu’une distance acceptable déterminée par le ministre soit respectée. L’intention de la politique est que la demande comprenne la distance en mètres qui doit être maintenue entre chaque unité </w:t>
            </w:r>
            <w:r w:rsidRPr="00A92CED">
              <w:rPr>
                <w:lang w:val="fr-CA"/>
              </w:rPr>
              <w:lastRenderedPageBreak/>
              <w:t xml:space="preserve">de </w:t>
            </w:r>
            <w:r w:rsidRPr="00A92CED">
              <w:rPr>
                <w:lang w:val="fr-CA"/>
              </w:rPr>
              <w:t>fabrication</w:t>
            </w:r>
            <w:r w:rsidRPr="00A92CED">
              <w:rPr>
                <w:lang w:val="fr-CA"/>
              </w:rPr>
              <w:t>, l</w:t>
            </w:r>
            <w:r w:rsidRPr="00A92CED">
              <w:rPr>
                <w:lang w:val="fr-CA"/>
              </w:rPr>
              <w:t>a poudrière de fabrique</w:t>
            </w:r>
            <w:r w:rsidRPr="00A92CED">
              <w:rPr>
                <w:lang w:val="fr-CA"/>
              </w:rPr>
              <w:t>.</w:t>
            </w:r>
          </w:p>
        </w:tc>
        <w:tc>
          <w:tcPr>
            <w:tcW w:w="3087" w:type="dxa"/>
          </w:tcPr>
          <w:p w14:paraId="0922ADF7" w14:textId="77777777" w:rsidR="003300F2" w:rsidRPr="00A92CED" w:rsidRDefault="003300F2" w:rsidP="00B811AC">
            <w:pPr>
              <w:rPr>
                <w:lang w:val="fr-CA"/>
              </w:rPr>
            </w:pPr>
          </w:p>
        </w:tc>
      </w:tr>
      <w:tr w:rsidR="00A92CED" w:rsidRPr="00A92CED" w14:paraId="410977CA" w14:textId="1278A08B" w:rsidTr="00E10233">
        <w:tc>
          <w:tcPr>
            <w:tcW w:w="3126" w:type="dxa"/>
          </w:tcPr>
          <w:p w14:paraId="667360FF" w14:textId="77777777" w:rsidR="003300F2" w:rsidRPr="00A92CED" w:rsidRDefault="003300F2" w:rsidP="00B811AC">
            <w:pPr>
              <w:pStyle w:val="ListParagraph"/>
              <w:numPr>
                <w:ilvl w:val="0"/>
                <w:numId w:val="1"/>
              </w:numPr>
              <w:jc w:val="center"/>
              <w:rPr>
                <w:lang w:val="fr-CA"/>
              </w:rPr>
            </w:pPr>
          </w:p>
        </w:tc>
        <w:tc>
          <w:tcPr>
            <w:tcW w:w="3715" w:type="dxa"/>
          </w:tcPr>
          <w:p w14:paraId="6528872E" w14:textId="29E0DE6C" w:rsidR="003300F2" w:rsidRPr="00A92CED" w:rsidRDefault="003300F2" w:rsidP="00B811AC">
            <w:pPr>
              <w:autoSpaceDE w:val="0"/>
              <w:autoSpaceDN w:val="0"/>
              <w:adjustRightInd w:val="0"/>
              <w:rPr>
                <w:rFonts w:ascii="Calibri" w:hAnsi="Calibri" w:cs="Calibri"/>
                <w:b/>
                <w:bCs/>
                <w:lang w:val="fr-CA"/>
              </w:rPr>
            </w:pPr>
            <w:r w:rsidRPr="00A92CED">
              <w:rPr>
                <w:rFonts w:ascii="Calibri" w:hAnsi="Calibri" w:cs="Calibri"/>
                <w:b/>
                <w:bCs/>
                <w:lang w:val="fr-CA"/>
              </w:rPr>
              <w:t xml:space="preserve">145 </w:t>
            </w:r>
            <w:r w:rsidRPr="00A92CED">
              <w:rPr>
                <w:rFonts w:ascii="Calibri" w:hAnsi="Calibri" w:cs="Calibri"/>
                <w:lang w:val="fr-CA"/>
              </w:rPr>
              <w:t>(4)</w:t>
            </w:r>
            <w:r w:rsidRPr="00A92CED">
              <w:rPr>
                <w:rFonts w:ascii="Calibri" w:hAnsi="Calibri" w:cs="Calibri"/>
                <w:b/>
                <w:bCs/>
                <w:lang w:val="fr-CA"/>
              </w:rPr>
              <w:t xml:space="preserve"> </w:t>
            </w:r>
            <w:r w:rsidRPr="00A92CED">
              <w:rPr>
                <w:rFonts w:ascii="Calibri" w:hAnsi="Calibri" w:cs="Calibri"/>
                <w:lang w:val="fr-CA"/>
              </w:rPr>
              <w:t>La demande contient un plan de sécurité en cas d’incendie qui énonce :</w:t>
            </w:r>
          </w:p>
          <w:p w14:paraId="2F12A24D" w14:textId="4B921AC6" w:rsidR="003300F2" w:rsidRPr="00A92CED" w:rsidRDefault="003300F2" w:rsidP="00B811AC">
            <w:pPr>
              <w:autoSpaceDE w:val="0"/>
              <w:autoSpaceDN w:val="0"/>
              <w:adjustRightInd w:val="0"/>
              <w:ind w:left="720"/>
              <w:rPr>
                <w:rFonts w:ascii="Calibri" w:hAnsi="Calibri" w:cs="Calibri"/>
                <w:lang w:val="fr-CA"/>
              </w:rPr>
            </w:pPr>
            <w:r w:rsidRPr="00A92CED">
              <w:rPr>
                <w:rFonts w:ascii="Calibri" w:hAnsi="Calibri" w:cs="Calibri"/>
                <w:lang w:val="fr-CA"/>
              </w:rPr>
              <w:t>a)</w:t>
            </w:r>
            <w:r w:rsidRPr="00A92CED">
              <w:rPr>
                <w:rFonts w:ascii="Calibri" w:hAnsi="Calibri" w:cs="Calibri"/>
                <w:b/>
                <w:bCs/>
                <w:lang w:val="fr-CA"/>
              </w:rPr>
              <w:t xml:space="preserve"> </w:t>
            </w:r>
            <w:r w:rsidRPr="00A92CED">
              <w:rPr>
                <w:rFonts w:ascii="Calibri" w:hAnsi="Calibri" w:cs="Calibri"/>
                <w:lang w:val="fr-CA"/>
              </w:rPr>
              <w:t>les mesures qui seront prises pour réduire au minimum la probabilité d’un incendie au site et en maîtriser la propagation éventuelle;</w:t>
            </w:r>
            <w:r w:rsidRPr="00A92CED">
              <w:rPr>
                <w:rFonts w:ascii="Calibri" w:hAnsi="Calibri" w:cs="Calibri"/>
                <w:lang w:val="fr-CA"/>
              </w:rPr>
              <w:br/>
              <w:t>b)</w:t>
            </w:r>
            <w:r w:rsidRPr="00A92CED">
              <w:rPr>
                <w:rFonts w:ascii="Calibri" w:hAnsi="Calibri" w:cs="Calibri"/>
                <w:b/>
                <w:bCs/>
                <w:lang w:val="fr-CA"/>
              </w:rPr>
              <w:t xml:space="preserve"> </w:t>
            </w:r>
            <w:r w:rsidRPr="00A92CED">
              <w:rPr>
                <w:rFonts w:ascii="Calibri" w:hAnsi="Calibri" w:cs="Calibri"/>
                <w:lang w:val="fr-CA"/>
              </w:rPr>
              <w:t>les procédures d’urgence à suivre en cas d’incendie,</w:t>
            </w:r>
            <w:r w:rsidRPr="00A92CED">
              <w:rPr>
                <w:rFonts w:ascii="Calibri" w:hAnsi="Calibri" w:cs="Calibri"/>
                <w:lang w:val="fr-CA"/>
              </w:rPr>
              <w:br/>
              <w:t>notamment :</w:t>
            </w:r>
          </w:p>
          <w:p w14:paraId="1428760E" w14:textId="4283F0CA" w:rsidR="003300F2" w:rsidRPr="00A92CED" w:rsidRDefault="003300F2" w:rsidP="00B811AC">
            <w:pPr>
              <w:autoSpaceDE w:val="0"/>
              <w:autoSpaceDN w:val="0"/>
              <w:adjustRightInd w:val="0"/>
              <w:ind w:left="1440"/>
              <w:rPr>
                <w:rFonts w:ascii="Calibri" w:hAnsi="Calibri" w:cs="Calibri"/>
                <w:lang w:val="fr-CA"/>
              </w:rPr>
            </w:pPr>
            <w:r w:rsidRPr="00A92CED">
              <w:rPr>
                <w:rFonts w:ascii="Calibri" w:hAnsi="Calibri" w:cs="Calibri"/>
                <w:lang w:val="fr-CA"/>
              </w:rPr>
              <w:t>(i)</w:t>
            </w:r>
            <w:r w:rsidRPr="00A92CED">
              <w:rPr>
                <w:rFonts w:ascii="Calibri" w:hAnsi="Calibri" w:cs="Calibri"/>
                <w:b/>
                <w:bCs/>
                <w:lang w:val="fr-CA"/>
              </w:rPr>
              <w:t xml:space="preserve"> </w:t>
            </w:r>
            <w:r w:rsidRPr="00A92CED">
              <w:rPr>
                <w:rFonts w:ascii="Calibri" w:hAnsi="Calibri" w:cs="Calibri"/>
                <w:lang w:val="fr-CA"/>
              </w:rPr>
              <w:t>le déclenchement des alarmes,</w:t>
            </w:r>
            <w:r w:rsidRPr="00A92CED">
              <w:rPr>
                <w:rFonts w:ascii="Calibri" w:hAnsi="Calibri" w:cs="Calibri"/>
                <w:lang w:val="fr-CA"/>
              </w:rPr>
              <w:br/>
              <w:t>(ii)</w:t>
            </w:r>
            <w:r w:rsidRPr="00A92CED">
              <w:rPr>
                <w:rFonts w:ascii="Calibri" w:hAnsi="Calibri" w:cs="Calibri"/>
                <w:b/>
                <w:bCs/>
                <w:lang w:val="fr-CA"/>
              </w:rPr>
              <w:t xml:space="preserve"> </w:t>
            </w:r>
            <w:r w:rsidRPr="00A92CED">
              <w:rPr>
                <w:rFonts w:ascii="Calibri" w:hAnsi="Calibri" w:cs="Calibri"/>
                <w:lang w:val="fr-CA"/>
              </w:rPr>
              <w:t>la notification du service des incendies,</w:t>
            </w:r>
            <w:r w:rsidRPr="00A92CED">
              <w:rPr>
                <w:rFonts w:ascii="Calibri" w:hAnsi="Calibri" w:cs="Calibri"/>
                <w:lang w:val="fr-CA"/>
              </w:rPr>
              <w:br/>
              <w:t>(iii)</w:t>
            </w:r>
            <w:r w:rsidRPr="00A92CED">
              <w:rPr>
                <w:rFonts w:ascii="Calibri" w:hAnsi="Calibri" w:cs="Calibri"/>
                <w:b/>
                <w:bCs/>
                <w:lang w:val="fr-CA"/>
              </w:rPr>
              <w:t xml:space="preserve"> </w:t>
            </w:r>
            <w:r w:rsidRPr="00A92CED">
              <w:rPr>
                <w:rFonts w:ascii="Calibri" w:hAnsi="Calibri" w:cs="Calibri"/>
                <w:lang w:val="fr-CA"/>
              </w:rPr>
              <w:t>les procédures d’évacuation, notamment les</w:t>
            </w:r>
            <w:r w:rsidRPr="00A92CED">
              <w:rPr>
                <w:rFonts w:ascii="Calibri" w:hAnsi="Calibri" w:cs="Calibri"/>
                <w:lang w:val="fr-CA"/>
              </w:rPr>
              <w:br/>
              <w:t>voies d’évacuation et les lieux de rassemblement sécuritaires;</w:t>
            </w:r>
          </w:p>
          <w:p w14:paraId="735CF425" w14:textId="691112D9" w:rsidR="003300F2" w:rsidRPr="00A92CED" w:rsidRDefault="003300F2" w:rsidP="00B811AC">
            <w:pPr>
              <w:autoSpaceDE w:val="0"/>
              <w:autoSpaceDN w:val="0"/>
              <w:adjustRightInd w:val="0"/>
              <w:ind w:left="720"/>
              <w:rPr>
                <w:rFonts w:ascii="Calibri" w:hAnsi="Calibri" w:cs="Calibri"/>
                <w:b/>
                <w:bCs/>
                <w:lang w:val="fr-CA"/>
              </w:rPr>
            </w:pPr>
            <w:r w:rsidRPr="00A92CED">
              <w:rPr>
                <w:rFonts w:ascii="Calibri" w:hAnsi="Calibri" w:cs="Calibri"/>
                <w:lang w:val="fr-CA"/>
              </w:rPr>
              <w:t>c)</w:t>
            </w:r>
            <w:r w:rsidRPr="00A92CED">
              <w:rPr>
                <w:rFonts w:ascii="Calibri" w:hAnsi="Calibri" w:cs="Calibri"/>
                <w:b/>
                <w:bCs/>
                <w:lang w:val="fr-CA"/>
              </w:rPr>
              <w:t xml:space="preserve"> </w:t>
            </w:r>
            <w:r w:rsidRPr="00A92CED">
              <w:rPr>
                <w:rFonts w:ascii="Calibri" w:hAnsi="Calibri" w:cs="Calibri"/>
                <w:lang w:val="fr-CA"/>
              </w:rPr>
              <w:t>les situations où il convient de combattre l’incendie</w:t>
            </w:r>
            <w:r w:rsidRPr="00A92CED">
              <w:rPr>
                <w:rFonts w:ascii="Calibri" w:hAnsi="Calibri" w:cs="Calibri"/>
                <w:lang w:val="fr-CA"/>
              </w:rPr>
              <w:br/>
              <w:t>et celle où il n’y a pas lieu de le faire, ainsi que les procédures permettant de déterminer s’il convient de</w:t>
            </w:r>
            <w:r w:rsidRPr="00A92CED">
              <w:rPr>
                <w:rFonts w:ascii="Calibri" w:hAnsi="Calibri" w:cs="Calibri"/>
                <w:lang w:val="fr-CA"/>
              </w:rPr>
              <w:br/>
              <w:t>combattre l’incendie;</w:t>
            </w:r>
            <w:r w:rsidRPr="00A92CED">
              <w:rPr>
                <w:rFonts w:ascii="Calibri" w:hAnsi="Calibri" w:cs="Calibri"/>
                <w:lang w:val="fr-CA"/>
              </w:rPr>
              <w:br/>
              <w:t>d)</w:t>
            </w:r>
            <w:r w:rsidRPr="00A92CED">
              <w:rPr>
                <w:rFonts w:ascii="Calibri" w:hAnsi="Calibri" w:cs="Calibri"/>
                <w:b/>
                <w:bCs/>
                <w:lang w:val="fr-CA"/>
              </w:rPr>
              <w:t xml:space="preserve"> </w:t>
            </w:r>
            <w:r w:rsidRPr="00A92CED">
              <w:rPr>
                <w:rFonts w:ascii="Calibri" w:hAnsi="Calibri" w:cs="Calibri"/>
                <w:lang w:val="fr-CA"/>
              </w:rPr>
              <w:t xml:space="preserve">les mesures qui seront prises pour former le </w:t>
            </w:r>
            <w:r w:rsidRPr="00A92CED">
              <w:rPr>
                <w:rFonts w:ascii="Calibri" w:hAnsi="Calibri" w:cs="Calibri"/>
                <w:lang w:val="fr-CA"/>
              </w:rPr>
              <w:lastRenderedPageBreak/>
              <w:t>personnel quant aux mesures, procédures et situations.</w:t>
            </w:r>
          </w:p>
        </w:tc>
        <w:tc>
          <w:tcPr>
            <w:tcW w:w="4076" w:type="dxa"/>
          </w:tcPr>
          <w:p w14:paraId="24931154" w14:textId="4293A31D" w:rsidR="003300F2" w:rsidRPr="00A92CED" w:rsidRDefault="003300F2" w:rsidP="008D49BE">
            <w:pPr>
              <w:rPr>
                <w:rFonts w:ascii="Calibri" w:hAnsi="Calibri" w:cs="Calibri"/>
                <w:lang w:val="fr-CA"/>
              </w:rPr>
            </w:pPr>
            <w:r w:rsidRPr="00A92CED">
              <w:rPr>
                <w:lang w:val="fr-CA"/>
              </w:rPr>
              <w:lastRenderedPageBreak/>
              <w:t>Modifier le paragraphe 145(4) pour ajouter les éléments ci-après à la liste des renseignements que le plan de sécurité en cas d’incendie doit énoncer :</w:t>
            </w:r>
            <w:r w:rsidRPr="00A92CED">
              <w:rPr>
                <w:rFonts w:ascii="Calibri" w:hAnsi="Calibri" w:cs="Calibri"/>
                <w:lang w:val="fr-CA"/>
              </w:rPr>
              <w:t xml:space="preserve"> </w:t>
            </w:r>
          </w:p>
          <w:p w14:paraId="390C8F6B" w14:textId="61AC06AA" w:rsidR="003300F2" w:rsidRPr="00A92CED" w:rsidRDefault="003300F2" w:rsidP="008D49BE">
            <w:pPr>
              <w:pStyle w:val="ListParagraph"/>
              <w:numPr>
                <w:ilvl w:val="0"/>
                <w:numId w:val="15"/>
              </w:numPr>
              <w:rPr>
                <w:rFonts w:ascii="Calibri" w:hAnsi="Calibri" w:cs="Calibri"/>
                <w:lang w:val="fr-CA"/>
              </w:rPr>
            </w:pPr>
            <w:r w:rsidRPr="00A92CED">
              <w:rPr>
                <w:rFonts w:ascii="Calibri" w:hAnsi="Calibri" w:cs="Calibri"/>
                <w:lang w:val="fr-CA"/>
              </w:rPr>
              <w:t xml:space="preserve">les nom, adresse, numéro de téléphone, numéro de télécopieur et adresse électronique du demandeur, y compris, le cas échéant, la dénomination sociale du site de poudrière auquel se rapporte le plan de sécurité en cas d’incendie; </w:t>
            </w:r>
          </w:p>
          <w:p w14:paraId="31E6D5C9" w14:textId="18B32B39" w:rsidR="003300F2" w:rsidRPr="00A92CED" w:rsidRDefault="003300F2" w:rsidP="008D49BE">
            <w:pPr>
              <w:pStyle w:val="ListParagraph"/>
              <w:numPr>
                <w:ilvl w:val="0"/>
                <w:numId w:val="15"/>
              </w:numPr>
              <w:rPr>
                <w:rFonts w:ascii="Calibri" w:hAnsi="Calibri" w:cs="Calibri"/>
                <w:lang w:val="fr-CA"/>
              </w:rPr>
            </w:pPr>
            <w:r w:rsidRPr="00A92CED">
              <w:rPr>
                <w:rFonts w:ascii="Calibri" w:hAnsi="Calibri" w:cs="Calibri"/>
                <w:lang w:val="fr-CA"/>
              </w:rPr>
              <w:t>les nom, adresse, numéro de téléphone, numéro de télécopieur et adresse électronique de la personne responsable du plan de sécurité en cas d’incendie, si cette personne n’est pas le demandeur;</w:t>
            </w:r>
          </w:p>
          <w:p w14:paraId="79AE8270" w14:textId="1B2E65F7" w:rsidR="003300F2" w:rsidRPr="00A92CED" w:rsidRDefault="003300F2" w:rsidP="008D49BE">
            <w:pPr>
              <w:pStyle w:val="ListParagraph"/>
              <w:numPr>
                <w:ilvl w:val="0"/>
                <w:numId w:val="15"/>
              </w:numPr>
              <w:rPr>
                <w:rFonts w:ascii="Calibri" w:hAnsi="Calibri" w:cs="Calibri"/>
                <w:lang w:val="fr-CA"/>
              </w:rPr>
            </w:pPr>
            <w:r w:rsidRPr="00A92CED">
              <w:rPr>
                <w:rFonts w:ascii="Calibri" w:hAnsi="Calibri" w:cs="Calibri"/>
                <w:lang w:val="fr-CA"/>
              </w:rPr>
              <w:t>l’adresse et les coordonnées géographiques du site de poudrière auquel se rapporte le plan de sécurité en cas d’incendie.</w:t>
            </w:r>
          </w:p>
          <w:p w14:paraId="500F23A8" w14:textId="78C6DE2B" w:rsidR="003300F2" w:rsidRPr="00A92CED" w:rsidRDefault="003300F2" w:rsidP="008D49BE">
            <w:pPr>
              <w:rPr>
                <w:lang w:val="fr-CA"/>
              </w:rPr>
            </w:pPr>
          </w:p>
        </w:tc>
        <w:tc>
          <w:tcPr>
            <w:tcW w:w="3143" w:type="dxa"/>
            <w:gridSpan w:val="2"/>
          </w:tcPr>
          <w:p w14:paraId="6FD7B361" w14:textId="5120E6F5" w:rsidR="003300F2" w:rsidRPr="00A92CED" w:rsidRDefault="003300F2" w:rsidP="00B811AC">
            <w:pPr>
              <w:rPr>
                <w:rFonts w:cstheme="minorHAnsi"/>
                <w:sz w:val="20"/>
                <w:szCs w:val="20"/>
                <w:lang w:val="fr-CA"/>
              </w:rPr>
            </w:pPr>
            <w:r w:rsidRPr="00A92CED">
              <w:rPr>
                <w:lang w:val="fr-CA"/>
              </w:rPr>
              <w:t>Ces amendements proposés appuient l’intention de la politique de clarifier les exigences relatives aux plans de sécurité en cas d’incendie.</w:t>
            </w:r>
          </w:p>
        </w:tc>
        <w:tc>
          <w:tcPr>
            <w:tcW w:w="3087" w:type="dxa"/>
          </w:tcPr>
          <w:p w14:paraId="38B3B6BC" w14:textId="77777777" w:rsidR="003300F2" w:rsidRPr="00A92CED" w:rsidRDefault="003300F2" w:rsidP="00B811AC">
            <w:pPr>
              <w:rPr>
                <w:rFonts w:cstheme="minorHAnsi"/>
                <w:sz w:val="20"/>
                <w:szCs w:val="20"/>
                <w:lang w:val="fr-CA"/>
              </w:rPr>
            </w:pPr>
          </w:p>
        </w:tc>
      </w:tr>
      <w:tr w:rsidR="00A92CED" w:rsidRPr="00A92CED" w14:paraId="6E1E7767" w14:textId="77777777" w:rsidTr="00E10233">
        <w:tc>
          <w:tcPr>
            <w:tcW w:w="3126" w:type="dxa"/>
          </w:tcPr>
          <w:p w14:paraId="3CDCB3D5" w14:textId="77777777" w:rsidR="003300F2" w:rsidRPr="00A92CED" w:rsidRDefault="003300F2" w:rsidP="00B811AC">
            <w:pPr>
              <w:pStyle w:val="ListParagraph"/>
              <w:numPr>
                <w:ilvl w:val="0"/>
                <w:numId w:val="1"/>
              </w:numPr>
              <w:jc w:val="center"/>
              <w:rPr>
                <w:lang w:val="fr-CA"/>
              </w:rPr>
            </w:pPr>
          </w:p>
        </w:tc>
        <w:tc>
          <w:tcPr>
            <w:tcW w:w="3715" w:type="dxa"/>
          </w:tcPr>
          <w:p w14:paraId="79EBB6EF" w14:textId="6F5C08B0" w:rsidR="003300F2" w:rsidRPr="00A92CED" w:rsidRDefault="003300F2" w:rsidP="00B811AC">
            <w:pPr>
              <w:autoSpaceDE w:val="0"/>
              <w:autoSpaceDN w:val="0"/>
              <w:adjustRightInd w:val="0"/>
              <w:rPr>
                <w:rFonts w:ascii="Calibri" w:hAnsi="Calibri" w:cs="Calibri"/>
                <w:b/>
                <w:bCs/>
                <w:lang w:val="fr-CA"/>
              </w:rPr>
            </w:pPr>
            <w:r w:rsidRPr="00A92CED">
              <w:rPr>
                <w:b/>
                <w:bCs/>
                <w:lang w:val="fr-CA"/>
              </w:rPr>
              <w:t>145</w:t>
            </w:r>
            <w:r w:rsidRPr="00A92CED">
              <w:rPr>
                <w:lang w:val="fr-CA"/>
              </w:rPr>
              <w:t xml:space="preserve"> </w:t>
            </w:r>
            <w:r w:rsidRPr="00A92CED">
              <w:rPr>
                <w:rFonts w:ascii="Calibri" w:hAnsi="Calibri" w:cs="Calibri"/>
                <w:lang w:val="fr-CA"/>
              </w:rPr>
              <w:t>(9) Si la demande porte sur une licence de poudrière (utilisateur-zone), les exigences prévues aux paragraphes (1) à (8) s’appliquent au site initial de la poudrière.</w:t>
            </w:r>
          </w:p>
        </w:tc>
        <w:tc>
          <w:tcPr>
            <w:tcW w:w="4076" w:type="dxa"/>
          </w:tcPr>
          <w:p w14:paraId="62D5F6BE" w14:textId="28C1EABA" w:rsidR="003300F2" w:rsidRPr="00A92CED" w:rsidRDefault="003300F2" w:rsidP="00B811AC">
            <w:pPr>
              <w:rPr>
                <w:lang w:val="fr-CA"/>
              </w:rPr>
            </w:pPr>
            <w:r w:rsidRPr="00A92CED">
              <w:rPr>
                <w:lang w:val="fr-CA"/>
              </w:rPr>
              <w:t>Modifier l’article 145 pour supprimer le paragraphe (9).</w:t>
            </w:r>
          </w:p>
        </w:tc>
        <w:tc>
          <w:tcPr>
            <w:tcW w:w="3143" w:type="dxa"/>
            <w:gridSpan w:val="2"/>
          </w:tcPr>
          <w:p w14:paraId="4567C40B" w14:textId="0D959128" w:rsidR="003300F2" w:rsidRPr="00A92CED" w:rsidRDefault="003300F2" w:rsidP="00B811AC">
            <w:pPr>
              <w:rPr>
                <w:rFonts w:cstheme="minorHAnsi"/>
                <w:sz w:val="20"/>
                <w:szCs w:val="20"/>
                <w:lang w:val="fr-CA"/>
              </w:rPr>
            </w:pPr>
            <w:r w:rsidRPr="00A92CED">
              <w:rPr>
                <w:lang w:val="fr-CA"/>
              </w:rPr>
              <w:t>Cet amendement proposé vise à clarifier les exigences relatives à la demande de licence de poudrière (utilisateur-zone).</w:t>
            </w:r>
          </w:p>
        </w:tc>
        <w:tc>
          <w:tcPr>
            <w:tcW w:w="3087" w:type="dxa"/>
          </w:tcPr>
          <w:p w14:paraId="38D8BEDA" w14:textId="77777777" w:rsidR="003300F2" w:rsidRPr="00A92CED" w:rsidRDefault="003300F2" w:rsidP="00B811AC">
            <w:pPr>
              <w:rPr>
                <w:rFonts w:cstheme="minorHAnsi"/>
                <w:sz w:val="20"/>
                <w:szCs w:val="20"/>
                <w:lang w:val="fr-CA"/>
              </w:rPr>
            </w:pPr>
          </w:p>
        </w:tc>
      </w:tr>
      <w:tr w:rsidR="00A92CED" w:rsidRPr="00A92CED" w14:paraId="4133AC96" w14:textId="77777777" w:rsidTr="00E10233">
        <w:tc>
          <w:tcPr>
            <w:tcW w:w="3126" w:type="dxa"/>
          </w:tcPr>
          <w:p w14:paraId="4009D6B9" w14:textId="77777777" w:rsidR="003300F2" w:rsidRPr="00A92CED" w:rsidRDefault="003300F2" w:rsidP="00B811AC">
            <w:pPr>
              <w:pStyle w:val="ListParagraph"/>
              <w:numPr>
                <w:ilvl w:val="0"/>
                <w:numId w:val="1"/>
              </w:numPr>
              <w:jc w:val="center"/>
              <w:rPr>
                <w:lang w:val="fr-CA"/>
              </w:rPr>
            </w:pPr>
          </w:p>
        </w:tc>
        <w:tc>
          <w:tcPr>
            <w:tcW w:w="3715" w:type="dxa"/>
          </w:tcPr>
          <w:p w14:paraId="63DE6F42" w14:textId="383FFA4F" w:rsidR="003300F2" w:rsidRPr="00A92CED" w:rsidRDefault="003300F2" w:rsidP="00B811AC">
            <w:pPr>
              <w:rPr>
                <w:rFonts w:ascii="Calibri" w:hAnsi="Calibri" w:cs="Calibri"/>
                <w:b/>
                <w:bCs/>
                <w:lang w:val="fr-CA"/>
              </w:rPr>
            </w:pPr>
            <w:r w:rsidRPr="00A92CED">
              <w:rPr>
                <w:rFonts w:ascii="Calibri" w:hAnsi="Calibri" w:cs="Calibri"/>
                <w:b/>
                <w:bCs/>
                <w:lang w:val="fr-CA"/>
              </w:rPr>
              <w:t xml:space="preserve">145 </w:t>
            </w:r>
            <w:r w:rsidRPr="00A92CED">
              <w:rPr>
                <w:rFonts w:ascii="Calibri" w:hAnsi="Calibri" w:cs="Calibri"/>
                <w:lang w:val="fr-CA"/>
              </w:rPr>
              <w:t>(1)</w:t>
            </w:r>
            <w:r w:rsidRPr="00A92CED">
              <w:rPr>
                <w:rFonts w:ascii="Calibri" w:hAnsi="Calibri" w:cs="Calibri"/>
                <w:b/>
                <w:bCs/>
                <w:lang w:val="fr-CA"/>
              </w:rPr>
              <w:t xml:space="preserve"> </w:t>
            </w:r>
            <w:r w:rsidRPr="00A92CED">
              <w:rPr>
                <w:rFonts w:ascii="Calibri" w:hAnsi="Calibri" w:cs="Calibri"/>
                <w:lang w:val="fr-CA"/>
              </w:rPr>
              <w:t>Le demandeur d’une licence de poudrière remplit, signe et fait parvenir à l’inspecteur en chef des explosifs le formulaire de demande fourni par le ministère des Ressources naturelles. La demande indique le type de licence demandé, soit une licence de poudrière (vendeur), une licence de poudrière (utilisateur) ou une licence de poudrière (utilisateur-zone), et contient les renseignements suivants :</w:t>
            </w:r>
          </w:p>
          <w:p w14:paraId="675F10E3" w14:textId="5C4B8B23" w:rsidR="003300F2" w:rsidRPr="00A92CED" w:rsidRDefault="003300F2" w:rsidP="00B811AC">
            <w:pPr>
              <w:ind w:left="720"/>
              <w:rPr>
                <w:rFonts w:ascii="Calibri" w:hAnsi="Calibri" w:cs="Calibri"/>
                <w:lang w:val="fr-CA"/>
              </w:rPr>
            </w:pPr>
            <w:r w:rsidRPr="00A92CED">
              <w:rPr>
                <w:rFonts w:ascii="Calibri" w:hAnsi="Calibri" w:cs="Calibri"/>
                <w:lang w:val="fr-CA"/>
              </w:rPr>
              <w:t>a) les nom, adresse, numéro de téléphone, numéro de</w:t>
            </w:r>
            <w:r w:rsidRPr="00A92CED">
              <w:rPr>
                <w:rFonts w:ascii="Calibri" w:hAnsi="Calibri" w:cs="Calibri"/>
                <w:lang w:val="fr-CA"/>
              </w:rPr>
              <w:br/>
              <w:t>télécopieur et adresse électronique du demandeur et</w:t>
            </w:r>
            <w:r w:rsidRPr="00A92CED">
              <w:rPr>
                <w:rFonts w:ascii="Calibri" w:hAnsi="Calibri" w:cs="Calibri"/>
                <w:lang w:val="fr-CA"/>
              </w:rPr>
              <w:br/>
              <w:t>d’une personne-ressource;</w:t>
            </w:r>
            <w:r w:rsidRPr="00A92CED">
              <w:rPr>
                <w:rFonts w:ascii="Calibri" w:hAnsi="Calibri" w:cs="Calibri"/>
                <w:lang w:val="fr-CA"/>
              </w:rPr>
              <w:br/>
              <w:t>b) l’adresse et les coordonnées géographiques du site</w:t>
            </w:r>
            <w:r w:rsidRPr="00A92CED">
              <w:rPr>
                <w:rFonts w:ascii="Calibri" w:hAnsi="Calibri" w:cs="Calibri"/>
                <w:lang w:val="fr-CA"/>
              </w:rPr>
              <w:br/>
              <w:t>de la poudrière;</w:t>
            </w:r>
            <w:r w:rsidRPr="00A92CED">
              <w:rPr>
                <w:rFonts w:ascii="Calibri" w:hAnsi="Calibri" w:cs="Calibri"/>
                <w:lang w:val="fr-CA"/>
              </w:rPr>
              <w:br/>
              <w:t>c) le nombre de poudrières à l’égard desquelles la licence est demandée;</w:t>
            </w:r>
            <w:r w:rsidRPr="00A92CED">
              <w:rPr>
                <w:rFonts w:ascii="Calibri" w:hAnsi="Calibri" w:cs="Calibri"/>
                <w:lang w:val="fr-CA"/>
              </w:rPr>
              <w:br/>
              <w:t>d) la quantité de chaque type d’*explosif qui sera stocké dans chaque poudrière;</w:t>
            </w:r>
            <w:r w:rsidRPr="00A92CED">
              <w:rPr>
                <w:rFonts w:ascii="Calibri" w:hAnsi="Calibri" w:cs="Calibri"/>
                <w:lang w:val="fr-CA"/>
              </w:rPr>
              <w:br/>
              <w:t xml:space="preserve">e) si la demande vise une </w:t>
            </w:r>
            <w:r w:rsidRPr="00A92CED">
              <w:rPr>
                <w:rFonts w:ascii="Calibri" w:hAnsi="Calibri" w:cs="Calibri"/>
                <w:lang w:val="fr-CA"/>
              </w:rPr>
              <w:lastRenderedPageBreak/>
              <w:t>licence de poudrière (vendeur), une mention précisant s’il s’agira d’un établissement de vente au détail ou d’un établissement de distribution;</w:t>
            </w:r>
            <w:r w:rsidRPr="00A92CED">
              <w:rPr>
                <w:rFonts w:ascii="Calibri" w:hAnsi="Calibri" w:cs="Calibri"/>
                <w:lang w:val="fr-CA"/>
              </w:rPr>
              <w:br/>
              <w:t>f) dans le cas d’un établissement de distribution, une mention précisant si des explosifs y seront réemballés.</w:t>
            </w:r>
          </w:p>
          <w:p w14:paraId="4517D378" w14:textId="77777777" w:rsidR="003300F2" w:rsidRPr="00A92CED" w:rsidRDefault="003300F2" w:rsidP="00B811AC">
            <w:pPr>
              <w:ind w:left="720"/>
              <w:rPr>
                <w:rFonts w:ascii="Calibri" w:hAnsi="Calibri" w:cs="Calibri"/>
                <w:lang w:val="fr-CA"/>
              </w:rPr>
            </w:pPr>
          </w:p>
          <w:p w14:paraId="3E1877DD" w14:textId="77777777" w:rsidR="003300F2" w:rsidRPr="00A92CED" w:rsidRDefault="003300F2" w:rsidP="00B811AC">
            <w:pPr>
              <w:rPr>
                <w:rFonts w:ascii="Calibri" w:hAnsi="Calibri" w:cs="Calibri"/>
                <w:lang w:val="fr-CA"/>
              </w:rPr>
            </w:pPr>
            <w:r w:rsidRPr="00A92CED">
              <w:rPr>
                <w:rFonts w:ascii="Calibri" w:hAnsi="Calibri" w:cs="Calibri"/>
                <w:lang w:val="fr-CA"/>
              </w:rPr>
              <w:t>(2) La demande contient les documents suivants :</w:t>
            </w:r>
          </w:p>
          <w:p w14:paraId="4BBB27E2" w14:textId="77777777" w:rsidR="003300F2" w:rsidRPr="00A92CED" w:rsidRDefault="003300F2" w:rsidP="00B811AC">
            <w:pPr>
              <w:ind w:left="720"/>
              <w:rPr>
                <w:rFonts w:ascii="Calibri" w:hAnsi="Calibri" w:cs="Calibri"/>
                <w:lang w:val="fr-CA"/>
              </w:rPr>
            </w:pPr>
            <w:r w:rsidRPr="00A92CED">
              <w:rPr>
                <w:rFonts w:ascii="Calibri" w:hAnsi="Calibri" w:cs="Calibri"/>
                <w:lang w:val="fr-CA"/>
              </w:rPr>
              <w:t>a) un plan du site de poudrière qui indique :</w:t>
            </w:r>
          </w:p>
          <w:p w14:paraId="65F5F7B2" w14:textId="7E3FEBEA" w:rsidR="003300F2" w:rsidRPr="00A92CED" w:rsidRDefault="003300F2" w:rsidP="00B811AC">
            <w:pPr>
              <w:ind w:left="1440"/>
              <w:rPr>
                <w:rFonts w:ascii="Calibri" w:hAnsi="Calibri" w:cs="Calibri"/>
                <w:lang w:val="fr-CA"/>
              </w:rPr>
            </w:pPr>
            <w:r w:rsidRPr="00A92CED">
              <w:rPr>
                <w:rFonts w:ascii="Calibri" w:hAnsi="Calibri" w:cs="Calibri"/>
                <w:lang w:val="fr-CA"/>
              </w:rPr>
              <w:t>(i)</w:t>
            </w:r>
            <w:r w:rsidRPr="00A92CED">
              <w:rPr>
                <w:rFonts w:ascii="Calibri" w:hAnsi="Calibri" w:cs="Calibri"/>
                <w:b/>
                <w:bCs/>
                <w:lang w:val="fr-CA"/>
              </w:rPr>
              <w:t xml:space="preserve"> </w:t>
            </w:r>
            <w:r w:rsidRPr="00A92CED">
              <w:rPr>
                <w:rFonts w:ascii="Calibri" w:hAnsi="Calibri" w:cs="Calibri"/>
                <w:lang w:val="fr-CA"/>
              </w:rPr>
              <w:t>l’emplacement de chaque poudrière et de</w:t>
            </w:r>
            <w:r w:rsidRPr="00A92CED">
              <w:rPr>
                <w:rFonts w:ascii="Calibri" w:hAnsi="Calibri" w:cs="Calibri"/>
                <w:lang w:val="fr-CA"/>
              </w:rPr>
              <w:br/>
              <w:t>chaque *lieu vulnérable sur le site, ainsi que celui de chaque lieu vulnérable à l’extérieur du site qui est exposé aux dangers (par exemple, débris ou effet de souffle) qui pourraient résulter de l’allumage des explosifs qui seront stockés sur le site,</w:t>
            </w:r>
            <w:r w:rsidRPr="00A92CED">
              <w:rPr>
                <w:rFonts w:ascii="Georgia" w:hAnsi="Georgia"/>
                <w:sz w:val="20"/>
                <w:szCs w:val="20"/>
                <w:lang w:val="fr-CA"/>
              </w:rPr>
              <w:br/>
            </w:r>
            <w:r w:rsidRPr="00A92CED">
              <w:rPr>
                <w:rFonts w:ascii="Calibri" w:hAnsi="Calibri" w:cs="Calibri"/>
                <w:lang w:val="fr-CA"/>
              </w:rPr>
              <w:t>(ii)</w:t>
            </w:r>
            <w:r w:rsidRPr="00A92CED">
              <w:rPr>
                <w:rFonts w:ascii="Calibri" w:hAnsi="Calibri" w:cs="Calibri"/>
                <w:b/>
                <w:bCs/>
                <w:lang w:val="fr-CA"/>
              </w:rPr>
              <w:t xml:space="preserve"> </w:t>
            </w:r>
            <w:r w:rsidRPr="00A92CED">
              <w:rPr>
                <w:rFonts w:ascii="Calibri" w:hAnsi="Calibri" w:cs="Calibri"/>
                <w:lang w:val="fr-CA"/>
              </w:rPr>
              <w:t xml:space="preserve">la distance, en mètres, entre chaque </w:t>
            </w:r>
            <w:r w:rsidRPr="00A92CED">
              <w:rPr>
                <w:rFonts w:ascii="Calibri" w:hAnsi="Calibri" w:cs="Calibri"/>
                <w:lang w:val="fr-CA"/>
              </w:rPr>
              <w:lastRenderedPageBreak/>
              <w:t>poudrière</w:t>
            </w:r>
            <w:r w:rsidRPr="00A92CED">
              <w:rPr>
                <w:rFonts w:ascii="Calibri" w:hAnsi="Calibri" w:cs="Calibri"/>
                <w:lang w:val="fr-CA"/>
              </w:rPr>
              <w:br/>
              <w:t>sur le site, entre chaque poudrière sur le site et</w:t>
            </w:r>
            <w:r w:rsidRPr="00A92CED">
              <w:rPr>
                <w:rFonts w:ascii="Calibri" w:hAnsi="Calibri" w:cs="Calibri"/>
                <w:lang w:val="fr-CA"/>
              </w:rPr>
              <w:br/>
              <w:t>chaque lieu vulnérable sur le site, ainsi qu’entre</w:t>
            </w:r>
            <w:r w:rsidRPr="00A92CED">
              <w:rPr>
                <w:rFonts w:ascii="Calibri" w:hAnsi="Calibri" w:cs="Calibri"/>
                <w:lang w:val="fr-CA"/>
              </w:rPr>
              <w:br/>
              <w:t>chaque poudrière sur le site et chaque lieu vulné-</w:t>
            </w:r>
            <w:r w:rsidRPr="00A92CED">
              <w:rPr>
                <w:rFonts w:ascii="Calibri" w:hAnsi="Calibri" w:cs="Calibri"/>
                <w:lang w:val="fr-CA"/>
              </w:rPr>
              <w:br/>
              <w:t>rable à l’extérieur du site qui est exposé aux dangers (par exemple, débris ou effet de souffle) qui pourraient résulter de l’allumage des explosifs qui seront stockés sur le site;</w:t>
            </w:r>
          </w:p>
          <w:p w14:paraId="282C4567" w14:textId="00CBE706" w:rsidR="003300F2" w:rsidRPr="00A92CED" w:rsidRDefault="003300F2" w:rsidP="00B811AC">
            <w:pPr>
              <w:ind w:left="720"/>
              <w:rPr>
                <w:rFonts w:ascii="Calibri" w:hAnsi="Calibri" w:cs="Calibri"/>
                <w:lang w:val="fr-CA"/>
              </w:rPr>
            </w:pPr>
            <w:r w:rsidRPr="00A92CED">
              <w:rPr>
                <w:rFonts w:ascii="Calibri" w:hAnsi="Calibri" w:cs="Calibri"/>
                <w:lang w:val="fr-CA"/>
              </w:rPr>
              <w:t>b) dans le cas où une ou plusieurs poudrières se trouvent dans une partie d’un bâtiment ou d’une construction, un dessin indiquant l’emplacement de chaque poudrière dans le bâtiment ou la construction ainsi que l’emplacement des entrées et des sorties des pièces ou du secteur où se trouve chaque poudrière et auxquels le public a accès.</w:t>
            </w:r>
          </w:p>
          <w:p w14:paraId="456F3CCF" w14:textId="77777777" w:rsidR="003300F2" w:rsidRPr="00A92CED" w:rsidRDefault="003300F2" w:rsidP="00B811AC">
            <w:pPr>
              <w:ind w:left="720"/>
              <w:rPr>
                <w:lang w:val="fr-CA"/>
              </w:rPr>
            </w:pPr>
          </w:p>
          <w:p w14:paraId="577CBA79" w14:textId="77A0A4FE" w:rsidR="003300F2" w:rsidRPr="00A92CED" w:rsidRDefault="003300F2" w:rsidP="00B811AC">
            <w:pPr>
              <w:rPr>
                <w:rFonts w:ascii="Calibri" w:hAnsi="Calibri" w:cs="Calibri"/>
                <w:b/>
                <w:bCs/>
                <w:lang w:val="fr-CA"/>
              </w:rPr>
            </w:pPr>
            <w:r w:rsidRPr="00A92CED">
              <w:rPr>
                <w:rFonts w:ascii="Calibri" w:hAnsi="Calibri" w:cs="Calibri"/>
                <w:lang w:val="fr-CA"/>
              </w:rPr>
              <w:lastRenderedPageBreak/>
              <w:t>(3)</w:t>
            </w:r>
            <w:r w:rsidRPr="00A92CED">
              <w:rPr>
                <w:rFonts w:ascii="Calibri" w:hAnsi="Calibri" w:cs="Calibri"/>
                <w:b/>
                <w:bCs/>
                <w:lang w:val="fr-CA"/>
              </w:rPr>
              <w:t xml:space="preserve"> </w:t>
            </w:r>
            <w:r w:rsidRPr="00A92CED">
              <w:rPr>
                <w:rFonts w:ascii="Calibri" w:hAnsi="Calibri" w:cs="Calibri"/>
                <w:lang w:val="fr-CA"/>
              </w:rPr>
              <w:t>La demande contient les renseignements ci-après à l’égard du site :</w:t>
            </w:r>
          </w:p>
          <w:p w14:paraId="670A95A9" w14:textId="3B28D35D" w:rsidR="003300F2" w:rsidRPr="00A92CED" w:rsidRDefault="003300F2" w:rsidP="00B811AC">
            <w:pPr>
              <w:ind w:left="720"/>
              <w:rPr>
                <w:rFonts w:ascii="Calibri" w:hAnsi="Calibri" w:cs="Calibri"/>
                <w:lang w:val="fr-CA"/>
              </w:rPr>
            </w:pPr>
            <w:r w:rsidRPr="00A92CED">
              <w:rPr>
                <w:rFonts w:ascii="Calibri" w:hAnsi="Calibri" w:cs="Calibri"/>
                <w:lang w:val="fr-CA"/>
              </w:rPr>
              <w:t>a)</w:t>
            </w:r>
            <w:r w:rsidRPr="00A92CED">
              <w:rPr>
                <w:rFonts w:ascii="Calibri" w:hAnsi="Calibri" w:cs="Calibri"/>
                <w:b/>
                <w:bCs/>
                <w:lang w:val="fr-CA"/>
              </w:rPr>
              <w:t xml:space="preserve"> </w:t>
            </w:r>
            <w:r w:rsidRPr="00A92CED">
              <w:rPr>
                <w:rFonts w:ascii="Calibri" w:hAnsi="Calibri" w:cs="Calibri"/>
                <w:lang w:val="fr-CA"/>
              </w:rPr>
              <w:t>une description de l’utilisation proposée du site et de chaque bâtiment et construction qui s’y trouve;</w:t>
            </w:r>
            <w:r w:rsidRPr="00A92CED">
              <w:rPr>
                <w:rFonts w:ascii="Calibri" w:hAnsi="Calibri" w:cs="Calibri"/>
                <w:lang w:val="fr-CA"/>
              </w:rPr>
              <w:br/>
              <w:t>b) la distance, en mètres, entre chaque poudrière et toute source potentielle d’allumage sur le site;</w:t>
            </w:r>
            <w:r w:rsidRPr="00A92CED">
              <w:rPr>
                <w:rFonts w:ascii="Calibri" w:hAnsi="Calibri" w:cs="Calibri"/>
                <w:lang w:val="fr-CA"/>
              </w:rPr>
              <w:br/>
              <w:t>c) la distance, en mètres, entre chaque poudrière sur le site, entre chaque poudrière sur le site et chaque lieu vulnérable sur le site, ainsi qu’entre chaque poudrière sur le site et chaque lieu vulnérable à l’extérieur du site qui est exposé aux dangers (par exemple, débris ou effet de souffle) qui pourraient résulter de l’allumage des explosifs qui seront stockés sur le site;</w:t>
            </w:r>
            <w:r w:rsidRPr="00A92CED">
              <w:rPr>
                <w:rFonts w:ascii="Calibri" w:hAnsi="Calibri" w:cs="Calibri"/>
                <w:lang w:val="fr-CA"/>
              </w:rPr>
              <w:br/>
              <w:t>d) la distance minimale, en mètres, qui doit être</w:t>
            </w:r>
            <w:r w:rsidRPr="00A92CED">
              <w:rPr>
                <w:rFonts w:ascii="Calibri" w:hAnsi="Calibri" w:cs="Calibri"/>
                <w:lang w:val="fr-CA"/>
              </w:rPr>
              <w:br/>
              <w:t>maintenue entre chaque poudrière et chaque lieu vulnérable indiqué sur le plan du site, comme l’indique la</w:t>
            </w:r>
            <w:r w:rsidRPr="00A92CED">
              <w:rPr>
                <w:rFonts w:ascii="Calibri" w:hAnsi="Calibri" w:cs="Calibri"/>
                <w:lang w:val="fr-CA"/>
              </w:rPr>
              <w:br/>
              <w:t>norme nationale du Canada CAN/BNQ 2910–510/2015</w:t>
            </w:r>
            <w:r w:rsidRPr="00A92CED">
              <w:rPr>
                <w:rFonts w:ascii="Calibri" w:hAnsi="Calibri" w:cs="Calibri"/>
                <w:lang w:val="fr-CA"/>
              </w:rPr>
              <w:br/>
              <w:t xml:space="preserve">intitulée </w:t>
            </w:r>
            <w:r w:rsidRPr="00A92CED">
              <w:rPr>
                <w:rFonts w:ascii="Calibri" w:hAnsi="Calibri" w:cs="Calibri"/>
                <w:i/>
                <w:iCs/>
                <w:lang w:val="fr-CA"/>
              </w:rPr>
              <w:t xml:space="preserve">Explosifs — Distances </w:t>
            </w:r>
            <w:r w:rsidRPr="00A92CED">
              <w:rPr>
                <w:rFonts w:ascii="Calibri" w:hAnsi="Calibri" w:cs="Calibri"/>
                <w:i/>
                <w:iCs/>
                <w:lang w:val="fr-CA"/>
              </w:rPr>
              <w:lastRenderedPageBreak/>
              <w:t>par rapport à la quantité d’explosifs</w:t>
            </w:r>
            <w:r w:rsidRPr="00A92CED">
              <w:rPr>
                <w:rFonts w:ascii="Calibri" w:hAnsi="Calibri" w:cs="Calibri"/>
                <w:lang w:val="fr-CA"/>
              </w:rPr>
              <w:t>, avec ses modifications successives;</w:t>
            </w:r>
            <w:r w:rsidRPr="00A92CED">
              <w:rPr>
                <w:rFonts w:ascii="Calibri" w:hAnsi="Calibri" w:cs="Calibri"/>
                <w:lang w:val="fr-CA"/>
              </w:rPr>
              <w:br/>
              <w:t>e) une description des dispositifs de sécurité et de sûreté sur le site (par exemple, panneaux, systèmes d’alarme, barrières, clôtures et merlons);</w:t>
            </w:r>
            <w:r w:rsidRPr="00A92CED">
              <w:rPr>
                <w:rFonts w:ascii="Calibri" w:hAnsi="Calibri" w:cs="Calibri"/>
                <w:lang w:val="fr-CA"/>
              </w:rPr>
              <w:br/>
              <w:t>f) pour chaque poudrière sur le site :</w:t>
            </w:r>
          </w:p>
          <w:p w14:paraId="1C1C6F34" w14:textId="59FFAB9C" w:rsidR="003300F2" w:rsidRPr="00A92CED" w:rsidRDefault="003300F2" w:rsidP="00B811AC">
            <w:pPr>
              <w:ind w:left="1440"/>
              <w:rPr>
                <w:rFonts w:ascii="Calibri" w:hAnsi="Calibri" w:cs="Calibri"/>
                <w:lang w:val="fr-CA"/>
              </w:rPr>
            </w:pPr>
            <w:r w:rsidRPr="00A92CED">
              <w:rPr>
                <w:rFonts w:ascii="Calibri" w:hAnsi="Calibri" w:cs="Calibri"/>
                <w:lang w:val="fr-CA"/>
              </w:rPr>
              <w:t>(i) le numéro de la plaque, le cas échéant, attribué par la Division de la réglementation des explosifs du ministère des Ressources naturelles,</w:t>
            </w:r>
            <w:r w:rsidRPr="00A92CED">
              <w:rPr>
                <w:rFonts w:ascii="Calibri" w:hAnsi="Calibri" w:cs="Calibri"/>
                <w:lang w:val="fr-CA"/>
              </w:rPr>
              <w:br/>
              <w:t xml:space="preserve">(ii) le numéro du type de poudrière auquel elle appartient, comme l’indique la norme nationale du Canada CAN/BNQ 2910–500/2015 intitulée </w:t>
            </w:r>
            <w:r w:rsidRPr="00A92CED">
              <w:rPr>
                <w:rFonts w:ascii="Calibri" w:hAnsi="Calibri" w:cs="Calibri"/>
                <w:i/>
                <w:iCs/>
                <w:lang w:val="fr-CA"/>
              </w:rPr>
              <w:t>Explosifs — Dépôts d’explosifs industriels</w:t>
            </w:r>
            <w:r w:rsidRPr="00A92CED">
              <w:rPr>
                <w:rFonts w:ascii="Calibri" w:hAnsi="Calibri" w:cs="Calibri"/>
                <w:lang w:val="fr-CA"/>
              </w:rPr>
              <w:t>, avec ses modifications successives, ou, si elle ne correspond à aucun type, ses spécifications, notamment les</w:t>
            </w:r>
            <w:r w:rsidRPr="00A92CED">
              <w:rPr>
                <w:rFonts w:ascii="Calibri" w:hAnsi="Calibri" w:cs="Calibri"/>
                <w:lang w:val="fr-CA"/>
              </w:rPr>
              <w:br/>
            </w:r>
            <w:r w:rsidRPr="00A92CED">
              <w:rPr>
                <w:rFonts w:ascii="Calibri" w:hAnsi="Calibri" w:cs="Calibri"/>
                <w:lang w:val="fr-CA"/>
              </w:rPr>
              <w:lastRenderedPageBreak/>
              <w:t>matériaux de construction dont elle est faite et les dispositifs de sécurité et de sûreté dont elle est dotée,</w:t>
            </w:r>
            <w:r w:rsidRPr="00A92CED">
              <w:rPr>
                <w:rFonts w:ascii="Calibri" w:hAnsi="Calibri" w:cs="Calibri"/>
                <w:lang w:val="fr-CA"/>
              </w:rPr>
              <w:br/>
              <w:t>(iii) ses dimensions intérieures (longueur, largeur, hauteur), en mètres, à une précision de 0,1 m.</w:t>
            </w:r>
          </w:p>
          <w:p w14:paraId="09E2EC92" w14:textId="77777777" w:rsidR="003300F2" w:rsidRPr="00A92CED" w:rsidRDefault="003300F2" w:rsidP="00B811AC">
            <w:pPr>
              <w:rPr>
                <w:rFonts w:ascii="Calibri" w:hAnsi="Calibri" w:cs="Calibri"/>
                <w:lang w:val="fr-CA"/>
              </w:rPr>
            </w:pPr>
          </w:p>
          <w:p w14:paraId="619A45E0" w14:textId="5C0398AB" w:rsidR="003300F2" w:rsidRPr="00A92CED" w:rsidRDefault="003300F2" w:rsidP="00B811AC">
            <w:pPr>
              <w:rPr>
                <w:rFonts w:ascii="Calibri" w:hAnsi="Calibri" w:cs="Calibri"/>
                <w:b/>
                <w:bCs/>
                <w:lang w:val="fr-CA"/>
              </w:rPr>
            </w:pPr>
            <w:r w:rsidRPr="00A92CED">
              <w:rPr>
                <w:rFonts w:ascii="Calibri" w:hAnsi="Calibri" w:cs="Calibri"/>
                <w:lang w:val="fr-CA"/>
              </w:rPr>
              <w:t>(4)</w:t>
            </w:r>
            <w:r w:rsidRPr="00A92CED">
              <w:rPr>
                <w:rFonts w:ascii="Calibri" w:hAnsi="Calibri" w:cs="Calibri"/>
                <w:b/>
                <w:bCs/>
                <w:lang w:val="fr-CA"/>
              </w:rPr>
              <w:t xml:space="preserve"> </w:t>
            </w:r>
            <w:r w:rsidRPr="00A92CED">
              <w:rPr>
                <w:rFonts w:ascii="Calibri" w:hAnsi="Calibri" w:cs="Calibri"/>
                <w:lang w:val="fr-CA"/>
              </w:rPr>
              <w:t>La demande contient un plan de sécurité en cas d’incendie qui énonce :</w:t>
            </w:r>
          </w:p>
          <w:p w14:paraId="76777BFC" w14:textId="1858EFBF" w:rsidR="003300F2" w:rsidRPr="00A92CED" w:rsidRDefault="003300F2" w:rsidP="00B811AC">
            <w:pPr>
              <w:ind w:left="720"/>
              <w:rPr>
                <w:rFonts w:ascii="Calibri" w:hAnsi="Calibri" w:cs="Calibri"/>
                <w:b/>
                <w:bCs/>
                <w:lang w:val="fr-CA"/>
              </w:rPr>
            </w:pPr>
            <w:r w:rsidRPr="00A92CED">
              <w:rPr>
                <w:rFonts w:ascii="Calibri" w:hAnsi="Calibri" w:cs="Calibri"/>
                <w:lang w:val="fr-CA"/>
              </w:rPr>
              <w:t>a) les mesures qui seront prises pour réduire au minimum la probabilité d’un incendie au site et en maîtriser la propagation éventuelle;</w:t>
            </w:r>
            <w:r w:rsidRPr="00A92CED">
              <w:rPr>
                <w:rFonts w:ascii="Calibri" w:hAnsi="Calibri" w:cs="Calibri"/>
                <w:lang w:val="fr-CA"/>
              </w:rPr>
              <w:br/>
              <w:t>b)</w:t>
            </w:r>
            <w:r w:rsidRPr="00A92CED">
              <w:rPr>
                <w:rFonts w:ascii="Calibri" w:hAnsi="Calibri" w:cs="Calibri"/>
                <w:b/>
                <w:bCs/>
                <w:lang w:val="fr-CA"/>
              </w:rPr>
              <w:t xml:space="preserve"> </w:t>
            </w:r>
            <w:r w:rsidRPr="00A92CED">
              <w:rPr>
                <w:rFonts w:ascii="Calibri" w:hAnsi="Calibri" w:cs="Calibri"/>
                <w:lang w:val="fr-CA"/>
              </w:rPr>
              <w:t>les procédures d’urgence à suivre en cas d’incendie,</w:t>
            </w:r>
            <w:r w:rsidRPr="00A92CED">
              <w:rPr>
                <w:rFonts w:ascii="Calibri" w:hAnsi="Calibri" w:cs="Calibri"/>
                <w:lang w:val="fr-CA"/>
              </w:rPr>
              <w:br/>
              <w:t>notamment :</w:t>
            </w:r>
          </w:p>
          <w:p w14:paraId="60DC7C0A" w14:textId="6D22F131" w:rsidR="003300F2" w:rsidRPr="00A92CED" w:rsidRDefault="003300F2" w:rsidP="00B811AC">
            <w:pPr>
              <w:ind w:left="1440"/>
              <w:rPr>
                <w:rFonts w:ascii="Calibri" w:hAnsi="Calibri" w:cs="Calibri"/>
                <w:lang w:val="fr-CA"/>
              </w:rPr>
            </w:pPr>
            <w:r w:rsidRPr="00A92CED">
              <w:rPr>
                <w:rFonts w:ascii="Calibri" w:hAnsi="Calibri" w:cs="Calibri"/>
                <w:lang w:val="fr-CA"/>
              </w:rPr>
              <w:t>(i) le déclenchement des alarmes,</w:t>
            </w:r>
            <w:r w:rsidRPr="00A92CED">
              <w:rPr>
                <w:rFonts w:ascii="Calibri" w:hAnsi="Calibri" w:cs="Calibri"/>
                <w:lang w:val="fr-CA"/>
              </w:rPr>
              <w:br/>
              <w:t>(ii) la notification du service des incendies,</w:t>
            </w:r>
            <w:r w:rsidRPr="00A92CED">
              <w:rPr>
                <w:rFonts w:ascii="Calibri" w:hAnsi="Calibri" w:cs="Calibri"/>
                <w:lang w:val="fr-CA"/>
              </w:rPr>
              <w:br/>
              <w:t>(iii) les procédures d’évacuation, notamment les voies d’évacuation et les lieux de rassemblement sécuritaires;</w:t>
            </w:r>
          </w:p>
          <w:p w14:paraId="058F7177" w14:textId="1F5917C6" w:rsidR="003300F2" w:rsidRPr="00A92CED" w:rsidRDefault="003300F2" w:rsidP="00B811AC">
            <w:pPr>
              <w:ind w:left="720"/>
              <w:rPr>
                <w:rFonts w:ascii="Calibri" w:hAnsi="Calibri" w:cs="Calibri"/>
                <w:lang w:val="fr-CA"/>
              </w:rPr>
            </w:pPr>
            <w:r w:rsidRPr="00A92CED">
              <w:rPr>
                <w:rFonts w:ascii="Calibri" w:hAnsi="Calibri" w:cs="Calibri"/>
                <w:lang w:val="fr-CA"/>
              </w:rPr>
              <w:lastRenderedPageBreak/>
              <w:t>c) les situations où il convient de combattre l’incendie et celle où il n’y a pas lieu de le faire, ainsi que les procédures permettant de déterminer s’il convient de combattre l’incendie;</w:t>
            </w:r>
            <w:r w:rsidRPr="00A92CED">
              <w:rPr>
                <w:rFonts w:ascii="Calibri" w:hAnsi="Calibri" w:cs="Calibri"/>
                <w:lang w:val="fr-CA"/>
              </w:rPr>
              <w:br/>
              <w:t>d) les mesures qui seront prises pour former le personnel quant aux mesures, procédures et situations.</w:t>
            </w:r>
          </w:p>
          <w:p w14:paraId="6B008FEF" w14:textId="77777777" w:rsidR="003300F2" w:rsidRPr="00A92CED" w:rsidRDefault="003300F2" w:rsidP="00B811AC">
            <w:pPr>
              <w:rPr>
                <w:rFonts w:ascii="Calibri" w:hAnsi="Calibri" w:cs="Calibri"/>
                <w:lang w:val="fr-CA"/>
              </w:rPr>
            </w:pPr>
          </w:p>
          <w:p w14:paraId="0F9EBC63" w14:textId="77777777" w:rsidR="003300F2" w:rsidRPr="00A92CED" w:rsidRDefault="003300F2" w:rsidP="00B811AC">
            <w:pPr>
              <w:rPr>
                <w:rFonts w:ascii="Calibri" w:hAnsi="Calibri" w:cs="Calibri"/>
                <w:lang w:val="fr-CA"/>
              </w:rPr>
            </w:pPr>
            <w:r w:rsidRPr="00A92CED">
              <w:rPr>
                <w:rFonts w:ascii="Calibri" w:hAnsi="Calibri" w:cs="Calibri"/>
                <w:lang w:val="fr-CA"/>
              </w:rPr>
              <w:t>(5) Dans le cas où des explosifs de type E, I ou D seront stockés, la demande contient un plan de sécurité du site qui renferme les renseignements suivants :</w:t>
            </w:r>
          </w:p>
          <w:p w14:paraId="57ADDF7B" w14:textId="77777777" w:rsidR="003300F2" w:rsidRPr="00A92CED" w:rsidRDefault="003300F2" w:rsidP="00B811AC">
            <w:pPr>
              <w:ind w:left="720"/>
              <w:rPr>
                <w:rFonts w:ascii="Calibri" w:hAnsi="Calibri" w:cs="Calibri"/>
                <w:lang w:val="fr-CA"/>
              </w:rPr>
            </w:pPr>
            <w:r w:rsidRPr="00A92CED">
              <w:rPr>
                <w:rFonts w:ascii="Calibri" w:hAnsi="Calibri" w:cs="Calibri"/>
                <w:lang w:val="fr-CA"/>
              </w:rPr>
              <w:t>a) une évaluation des risques à la sécurité créés par la présence des explosifs sur le site;</w:t>
            </w:r>
            <w:r w:rsidRPr="00A92CED">
              <w:rPr>
                <w:rFonts w:ascii="Calibri" w:hAnsi="Calibri" w:cs="Calibri"/>
                <w:lang w:val="fr-CA"/>
              </w:rPr>
              <w:br/>
              <w:t>b) une description des précautions à prendre pour réduire au minimum ces risques;</w:t>
            </w:r>
          </w:p>
          <w:p w14:paraId="44635065" w14:textId="77777777" w:rsidR="003300F2" w:rsidRPr="00A92CED" w:rsidRDefault="003300F2" w:rsidP="00B811AC">
            <w:pPr>
              <w:ind w:left="720"/>
              <w:rPr>
                <w:rFonts w:ascii="Calibri" w:hAnsi="Calibri" w:cs="Calibri"/>
                <w:lang w:val="fr-CA"/>
              </w:rPr>
            </w:pPr>
            <w:r w:rsidRPr="00A92CED">
              <w:rPr>
                <w:rFonts w:ascii="Calibri" w:hAnsi="Calibri" w:cs="Calibri"/>
                <w:lang w:val="fr-CA"/>
              </w:rPr>
              <w:t>c) une description des procédures à suivre pour faire face aux incidents liés à la sécurité;</w:t>
            </w:r>
            <w:r w:rsidRPr="00A92CED">
              <w:rPr>
                <w:rFonts w:ascii="Calibri" w:hAnsi="Calibri" w:cs="Calibri"/>
                <w:lang w:val="fr-CA"/>
              </w:rPr>
              <w:br/>
              <w:t>d) une description des procédures à suivre pour signaler les incidents liés à la sécurité.</w:t>
            </w:r>
          </w:p>
          <w:p w14:paraId="310FFCF2" w14:textId="77777777" w:rsidR="003300F2" w:rsidRPr="00A92CED" w:rsidRDefault="003300F2" w:rsidP="00B811AC">
            <w:pPr>
              <w:rPr>
                <w:rFonts w:ascii="Calibri" w:hAnsi="Calibri" w:cs="Calibri"/>
                <w:lang w:val="fr-CA"/>
              </w:rPr>
            </w:pPr>
          </w:p>
          <w:p w14:paraId="4D67A9FA" w14:textId="540C8577" w:rsidR="003300F2" w:rsidRPr="00A92CED" w:rsidRDefault="003300F2" w:rsidP="00B811AC">
            <w:pPr>
              <w:rPr>
                <w:rFonts w:ascii="Calibri" w:hAnsi="Calibri" w:cs="Calibri"/>
                <w:lang w:val="fr-CA"/>
              </w:rPr>
            </w:pPr>
            <w:r w:rsidRPr="00A92CED">
              <w:rPr>
                <w:rFonts w:ascii="Calibri" w:hAnsi="Calibri" w:cs="Calibri"/>
                <w:lang w:val="fr-CA"/>
              </w:rPr>
              <w:t>(6)</w:t>
            </w:r>
            <w:r w:rsidRPr="00A92CED">
              <w:rPr>
                <w:rFonts w:ascii="Calibri" w:hAnsi="Calibri" w:cs="Calibri"/>
                <w:b/>
                <w:bCs/>
                <w:lang w:val="fr-CA"/>
              </w:rPr>
              <w:t xml:space="preserve"> </w:t>
            </w:r>
            <w:r w:rsidRPr="00A92CED">
              <w:rPr>
                <w:rFonts w:ascii="Calibri" w:hAnsi="Calibri" w:cs="Calibri"/>
                <w:lang w:val="fr-CA"/>
              </w:rPr>
              <w:t>Dans le cas où le site de poudrière est un établissement de distribution où des fusées éclairantes marines (types S.1 et S.2) seront stockées, la demande contient un plan de destruction indiquant l’endroit où les fusées périmées qui ont été retournées au site seront stockées et celui où elles seront détruites, ainsi que la manière dont elles seront stockées et détruites.</w:t>
            </w:r>
          </w:p>
          <w:p w14:paraId="1CF0C266" w14:textId="77777777" w:rsidR="003300F2" w:rsidRPr="00A92CED" w:rsidRDefault="003300F2" w:rsidP="00B811AC">
            <w:pPr>
              <w:rPr>
                <w:rFonts w:ascii="Calibri" w:hAnsi="Calibri" w:cs="Calibri"/>
                <w:lang w:val="fr-CA"/>
              </w:rPr>
            </w:pPr>
          </w:p>
          <w:p w14:paraId="5B5E9014" w14:textId="79151124" w:rsidR="003300F2" w:rsidRPr="00A92CED" w:rsidRDefault="003300F2" w:rsidP="00B811AC">
            <w:pPr>
              <w:rPr>
                <w:rFonts w:ascii="Calibri" w:hAnsi="Calibri" w:cs="Calibri"/>
                <w:lang w:val="fr-CA"/>
              </w:rPr>
            </w:pPr>
            <w:r w:rsidRPr="00A92CED">
              <w:rPr>
                <w:rFonts w:ascii="Calibri" w:hAnsi="Calibri" w:cs="Calibri"/>
                <w:lang w:val="fr-CA"/>
              </w:rPr>
              <w:t>(7) Chaque poudrière et chaque lieu vulnérable indiqué sur le plan du site est identifié par un numéro, une lettre ou un nom distinctif, qui sert à l’identifier dans le plan du site et dans la description du site.</w:t>
            </w:r>
          </w:p>
          <w:p w14:paraId="55CA44FA" w14:textId="77777777" w:rsidR="003300F2" w:rsidRPr="00A92CED" w:rsidRDefault="003300F2" w:rsidP="00B811AC">
            <w:pPr>
              <w:rPr>
                <w:rFonts w:ascii="Calibri" w:hAnsi="Calibri" w:cs="Calibri"/>
                <w:lang w:val="fr-CA"/>
              </w:rPr>
            </w:pPr>
          </w:p>
          <w:p w14:paraId="4BC5125F" w14:textId="7854B77D" w:rsidR="003300F2" w:rsidRPr="00A92CED" w:rsidRDefault="003300F2" w:rsidP="00B811AC">
            <w:pPr>
              <w:rPr>
                <w:rFonts w:ascii="Calibri" w:hAnsi="Calibri" w:cs="Calibri"/>
                <w:lang w:val="fr-CA"/>
              </w:rPr>
            </w:pPr>
            <w:r w:rsidRPr="00A92CED">
              <w:rPr>
                <w:rFonts w:ascii="Calibri" w:hAnsi="Calibri" w:cs="Calibri"/>
                <w:lang w:val="fr-CA"/>
              </w:rPr>
              <w:t>(8) Chaque dessin ou plan est fait à l’échelle, ou constitue une approximation raisonnable des distances ou dimensions réelles, et comporte une légende.</w:t>
            </w:r>
          </w:p>
          <w:p w14:paraId="625EA166" w14:textId="77777777" w:rsidR="003300F2" w:rsidRPr="00A92CED" w:rsidRDefault="003300F2" w:rsidP="00B811AC">
            <w:pPr>
              <w:rPr>
                <w:rFonts w:ascii="Calibri" w:hAnsi="Calibri" w:cs="Calibri"/>
                <w:lang w:val="fr-CA"/>
              </w:rPr>
            </w:pPr>
          </w:p>
          <w:p w14:paraId="6362AC8E" w14:textId="38C72579" w:rsidR="003300F2" w:rsidRPr="00A92CED" w:rsidRDefault="003300F2" w:rsidP="00B811AC">
            <w:pPr>
              <w:rPr>
                <w:rFonts w:ascii="Calibri" w:hAnsi="Calibri" w:cs="Calibri"/>
                <w:lang w:val="fr-CA"/>
              </w:rPr>
            </w:pPr>
            <w:r w:rsidRPr="00A92CED">
              <w:rPr>
                <w:rFonts w:ascii="Calibri" w:hAnsi="Calibri" w:cs="Calibri"/>
                <w:lang w:val="fr-CA"/>
              </w:rPr>
              <w:t>(9) Si la demande porte sur une licence de poudrière (utilisateur-zone), les exigences prévues aux paragraphes (1) à (8) s’appliquent au site initial de la poudrière.</w:t>
            </w:r>
          </w:p>
          <w:p w14:paraId="5B82B001" w14:textId="77777777" w:rsidR="003300F2" w:rsidRPr="00A92CED" w:rsidRDefault="003300F2" w:rsidP="00B811AC">
            <w:pPr>
              <w:rPr>
                <w:rFonts w:ascii="Calibri" w:hAnsi="Calibri" w:cs="Calibri"/>
                <w:lang w:val="fr-CA"/>
              </w:rPr>
            </w:pPr>
          </w:p>
          <w:p w14:paraId="547F50B5" w14:textId="416D6189" w:rsidR="003300F2" w:rsidRPr="00A92CED" w:rsidRDefault="003300F2" w:rsidP="00B811AC">
            <w:pPr>
              <w:autoSpaceDE w:val="0"/>
              <w:autoSpaceDN w:val="0"/>
              <w:adjustRightInd w:val="0"/>
              <w:rPr>
                <w:b/>
                <w:bCs/>
                <w:lang w:val="fr-CA"/>
              </w:rPr>
            </w:pPr>
            <w:r w:rsidRPr="00A92CED">
              <w:rPr>
                <w:rFonts w:ascii="Calibri" w:hAnsi="Calibri" w:cs="Calibri"/>
                <w:lang w:val="fr-CA"/>
              </w:rPr>
              <w:lastRenderedPageBreak/>
              <w:t>(10) Le demandeur d’une licence de poudrière paie les droits applicables prévus à la partie 19.</w:t>
            </w:r>
          </w:p>
        </w:tc>
        <w:tc>
          <w:tcPr>
            <w:tcW w:w="4076" w:type="dxa"/>
          </w:tcPr>
          <w:p w14:paraId="13853E5D" w14:textId="694DF6A9" w:rsidR="003300F2" w:rsidRPr="00A92CED" w:rsidRDefault="003300F2" w:rsidP="0026371C">
            <w:pPr>
              <w:rPr>
                <w:lang w:val="fr-CA"/>
              </w:rPr>
            </w:pPr>
            <w:r w:rsidRPr="00A92CED">
              <w:rPr>
                <w:lang w:val="fr-CA"/>
              </w:rPr>
              <w:lastRenderedPageBreak/>
              <w:t xml:space="preserve">Modifier l’article 145 pour ajouter la nouvelle exigence ci-après stipulant que la demande de licence partagée doit contenir les renseignements suivants : </w:t>
            </w:r>
          </w:p>
          <w:p w14:paraId="79B640AC" w14:textId="6CDD4748" w:rsidR="003300F2" w:rsidRPr="00A92CED" w:rsidRDefault="003300F2" w:rsidP="0026371C">
            <w:pPr>
              <w:pStyle w:val="ListParagraph"/>
              <w:numPr>
                <w:ilvl w:val="0"/>
                <w:numId w:val="16"/>
              </w:numPr>
              <w:rPr>
                <w:lang w:val="fr-CA"/>
              </w:rPr>
            </w:pPr>
            <w:r w:rsidRPr="00A92CED">
              <w:rPr>
                <w:lang w:val="fr-CA"/>
              </w:rPr>
              <w:t>l’adresse de chaque site de poudrière où les explosifs du titulaire de licence partagée peuvent être stockés;</w:t>
            </w:r>
          </w:p>
          <w:p w14:paraId="5FDC0899" w14:textId="2728B479" w:rsidR="003300F2" w:rsidRPr="00A92CED" w:rsidRDefault="003300F2" w:rsidP="0026371C">
            <w:pPr>
              <w:pStyle w:val="ListParagraph"/>
              <w:numPr>
                <w:ilvl w:val="0"/>
                <w:numId w:val="16"/>
              </w:numPr>
              <w:rPr>
                <w:lang w:val="fr-CA"/>
              </w:rPr>
            </w:pPr>
            <w:r w:rsidRPr="00A92CED">
              <w:rPr>
                <w:lang w:val="fr-CA"/>
              </w:rPr>
              <w:t xml:space="preserve">la description de chaque site de poudrière selon la licence principale; </w:t>
            </w:r>
          </w:p>
          <w:p w14:paraId="1742AC6D" w14:textId="47ACA128" w:rsidR="003300F2" w:rsidRPr="00A92CED" w:rsidRDefault="003300F2" w:rsidP="0026371C">
            <w:pPr>
              <w:pStyle w:val="ListParagraph"/>
              <w:numPr>
                <w:ilvl w:val="0"/>
                <w:numId w:val="16"/>
              </w:numPr>
              <w:rPr>
                <w:lang w:val="fr-CA"/>
              </w:rPr>
            </w:pPr>
            <w:r w:rsidRPr="00A92CED">
              <w:rPr>
                <w:lang w:val="fr-CA"/>
              </w:rPr>
              <w:t>le numéro d’identification de chaque poudrière où les explosifs du titulaire de licence partagée seront stockés;</w:t>
            </w:r>
          </w:p>
          <w:p w14:paraId="73DD9914" w14:textId="14CCE429" w:rsidR="003300F2" w:rsidRPr="00A92CED" w:rsidRDefault="003300F2" w:rsidP="0026371C">
            <w:pPr>
              <w:pStyle w:val="ListParagraph"/>
              <w:numPr>
                <w:ilvl w:val="0"/>
                <w:numId w:val="16"/>
              </w:numPr>
              <w:rPr>
                <w:lang w:val="fr-CA"/>
              </w:rPr>
            </w:pPr>
            <w:r w:rsidRPr="00A92CED">
              <w:rPr>
                <w:lang w:val="fr-CA"/>
              </w:rPr>
              <w:t>les types d’explosifs que le titulaire de licence partagée est autorisé à stocker;</w:t>
            </w:r>
          </w:p>
          <w:p w14:paraId="5D2F1901" w14:textId="75166913" w:rsidR="003300F2" w:rsidRPr="00A92CED" w:rsidRDefault="003300F2" w:rsidP="0026371C">
            <w:pPr>
              <w:pStyle w:val="ListParagraph"/>
              <w:numPr>
                <w:ilvl w:val="0"/>
                <w:numId w:val="16"/>
              </w:numPr>
              <w:rPr>
                <w:lang w:val="fr-CA"/>
              </w:rPr>
            </w:pPr>
            <w:r w:rsidRPr="00A92CED">
              <w:rPr>
                <w:lang w:val="fr-CA"/>
              </w:rPr>
              <w:t>la quantité maximale de chaque type d’explosifs que le titulaire de licence partagée est autorisé à stocker.</w:t>
            </w:r>
          </w:p>
          <w:p w14:paraId="33481BA7" w14:textId="5FD8639B" w:rsidR="003300F2" w:rsidRPr="00A92CED" w:rsidRDefault="003300F2" w:rsidP="0026371C">
            <w:pPr>
              <w:rPr>
                <w:lang w:val="fr-CA"/>
              </w:rPr>
            </w:pPr>
          </w:p>
        </w:tc>
        <w:tc>
          <w:tcPr>
            <w:tcW w:w="3143" w:type="dxa"/>
            <w:gridSpan w:val="2"/>
          </w:tcPr>
          <w:p w14:paraId="70599EB8" w14:textId="05FF32EA" w:rsidR="003300F2" w:rsidRPr="00A92CED" w:rsidRDefault="003300F2" w:rsidP="00B811AC">
            <w:pPr>
              <w:rPr>
                <w:rFonts w:cstheme="minorHAnsi"/>
                <w:sz w:val="20"/>
                <w:szCs w:val="20"/>
                <w:lang w:val="fr-CA"/>
              </w:rPr>
            </w:pPr>
            <w:r w:rsidRPr="00A92CED">
              <w:rPr>
                <w:lang w:val="fr-CA"/>
              </w:rPr>
              <w:t xml:space="preserve">Cet amendement proposé appuie l’amendement qu’il est proposé d’apporter à l’article 144, au point 49 du présent document de consultation, pour créer une nouvelle définition de </w:t>
            </w:r>
            <w:r w:rsidRPr="00A92CED">
              <w:rPr>
                <w:rFonts w:cstheme="minorHAnsi"/>
                <w:lang w:val="fr-CA"/>
              </w:rPr>
              <w:t>« licence partagée </w:t>
            </w:r>
            <w:r w:rsidRPr="00A92CED">
              <w:rPr>
                <w:rFonts w:ascii="Calibri" w:hAnsi="Calibri" w:cs="Calibri"/>
                <w:lang w:val="fr-CA"/>
              </w:rPr>
              <w:t>» en énumérant les exigences spécifiques relatives à la demande de licence partagée.</w:t>
            </w:r>
          </w:p>
        </w:tc>
        <w:tc>
          <w:tcPr>
            <w:tcW w:w="3087" w:type="dxa"/>
          </w:tcPr>
          <w:p w14:paraId="392AFCDE" w14:textId="77777777" w:rsidR="003300F2" w:rsidRPr="00A92CED" w:rsidRDefault="003300F2" w:rsidP="00B811AC">
            <w:pPr>
              <w:rPr>
                <w:rFonts w:cstheme="minorHAnsi"/>
                <w:sz w:val="20"/>
                <w:szCs w:val="20"/>
                <w:lang w:val="fr-CA"/>
              </w:rPr>
            </w:pPr>
          </w:p>
        </w:tc>
      </w:tr>
      <w:tr w:rsidR="00A92CED" w:rsidRPr="00A92CED" w14:paraId="4508878D" w14:textId="77777777" w:rsidTr="00E10233">
        <w:tc>
          <w:tcPr>
            <w:tcW w:w="3126" w:type="dxa"/>
          </w:tcPr>
          <w:p w14:paraId="649D237E" w14:textId="77777777" w:rsidR="003300F2" w:rsidRPr="00A92CED" w:rsidRDefault="003300F2" w:rsidP="00B811AC">
            <w:pPr>
              <w:pStyle w:val="ListParagraph"/>
              <w:numPr>
                <w:ilvl w:val="0"/>
                <w:numId w:val="1"/>
              </w:numPr>
              <w:jc w:val="center"/>
              <w:rPr>
                <w:lang w:val="fr-CA"/>
              </w:rPr>
            </w:pPr>
          </w:p>
        </w:tc>
        <w:tc>
          <w:tcPr>
            <w:tcW w:w="3715" w:type="dxa"/>
          </w:tcPr>
          <w:p w14:paraId="409BFF81" w14:textId="5EB94A9C" w:rsidR="003300F2" w:rsidRPr="00A92CED" w:rsidRDefault="003300F2" w:rsidP="00B811AC">
            <w:pPr>
              <w:rPr>
                <w:rFonts w:ascii="Calibri" w:hAnsi="Calibri" w:cs="Calibri"/>
                <w:b/>
                <w:bCs/>
                <w:lang w:val="fr-CA"/>
              </w:rPr>
            </w:pPr>
            <w:r w:rsidRPr="00A92CED">
              <w:rPr>
                <w:rFonts w:ascii="Calibri" w:hAnsi="Calibri" w:cs="Calibri"/>
                <w:b/>
                <w:bCs/>
                <w:lang w:val="fr-CA"/>
              </w:rPr>
              <w:t xml:space="preserve">145 </w:t>
            </w:r>
            <w:r w:rsidRPr="00A92CED">
              <w:rPr>
                <w:rFonts w:ascii="Calibri" w:hAnsi="Calibri" w:cs="Calibri"/>
                <w:lang w:val="fr-CA"/>
              </w:rPr>
              <w:t>(1)</w:t>
            </w:r>
            <w:r w:rsidRPr="00A92CED">
              <w:rPr>
                <w:rFonts w:ascii="Calibri" w:hAnsi="Calibri" w:cs="Calibri"/>
                <w:b/>
                <w:bCs/>
                <w:lang w:val="fr-CA"/>
              </w:rPr>
              <w:t xml:space="preserve"> </w:t>
            </w:r>
            <w:r w:rsidRPr="00A92CED">
              <w:rPr>
                <w:rFonts w:ascii="Calibri" w:hAnsi="Calibri" w:cs="Calibri"/>
                <w:lang w:val="fr-CA"/>
              </w:rPr>
              <w:t>Le demandeur d’une licence de poudrière remplit, signe et fait parvenir à l’inspecteur en chef des explosifs le formulaire de demande fourni par le ministère des Ressources naturelles. La demande indique le type de licence demandé, soit une licence de poudrière (vendeur), une licence de poudrière (utilisateur) ou une licence de poudrière (utilisateur-zone), et contient les renseignements suivants :</w:t>
            </w:r>
          </w:p>
          <w:p w14:paraId="3BA5BD79" w14:textId="663BF465" w:rsidR="003300F2" w:rsidRPr="00A92CED" w:rsidRDefault="003300F2" w:rsidP="00B811AC">
            <w:pPr>
              <w:ind w:left="720"/>
              <w:rPr>
                <w:rFonts w:ascii="Calibri" w:hAnsi="Calibri" w:cs="Calibri"/>
                <w:lang w:val="fr-CA"/>
              </w:rPr>
            </w:pPr>
            <w:r w:rsidRPr="00A92CED">
              <w:rPr>
                <w:rFonts w:ascii="Calibri" w:hAnsi="Calibri" w:cs="Calibri"/>
                <w:lang w:val="fr-CA"/>
              </w:rPr>
              <w:t>a) les nom, adresse, numéro de téléphone, numéro de</w:t>
            </w:r>
            <w:r w:rsidRPr="00A92CED">
              <w:rPr>
                <w:rFonts w:ascii="Calibri" w:hAnsi="Calibri" w:cs="Calibri"/>
                <w:lang w:val="fr-CA"/>
              </w:rPr>
              <w:br/>
              <w:t>télécopieur et adresse électronique du demandeur et</w:t>
            </w:r>
            <w:r w:rsidRPr="00A92CED">
              <w:rPr>
                <w:rFonts w:ascii="Calibri" w:hAnsi="Calibri" w:cs="Calibri"/>
                <w:lang w:val="fr-CA"/>
              </w:rPr>
              <w:br/>
              <w:t>d’une personne-ressource;</w:t>
            </w:r>
            <w:r w:rsidRPr="00A92CED">
              <w:rPr>
                <w:rFonts w:ascii="Calibri" w:hAnsi="Calibri" w:cs="Calibri"/>
                <w:lang w:val="fr-CA"/>
              </w:rPr>
              <w:br/>
              <w:t>b) l’adresse et les coordonnées géographiques du site</w:t>
            </w:r>
            <w:r w:rsidRPr="00A92CED">
              <w:rPr>
                <w:rFonts w:ascii="Calibri" w:hAnsi="Calibri" w:cs="Calibri"/>
                <w:lang w:val="fr-CA"/>
              </w:rPr>
              <w:br/>
              <w:t>de la poudrière;</w:t>
            </w:r>
            <w:r w:rsidRPr="00A92CED">
              <w:rPr>
                <w:rFonts w:ascii="Calibri" w:hAnsi="Calibri" w:cs="Calibri"/>
                <w:lang w:val="fr-CA"/>
              </w:rPr>
              <w:br/>
              <w:t>c) le nombre de poudrières à l’égard desquelles la licence est demandée;</w:t>
            </w:r>
            <w:r w:rsidRPr="00A92CED">
              <w:rPr>
                <w:rFonts w:ascii="Calibri" w:hAnsi="Calibri" w:cs="Calibri"/>
                <w:lang w:val="fr-CA"/>
              </w:rPr>
              <w:br/>
              <w:t>d) la quantité de chaque type d’*explosif qui sera stocké dans chaque poudrière;</w:t>
            </w:r>
            <w:r w:rsidRPr="00A92CED">
              <w:rPr>
                <w:rFonts w:ascii="Calibri" w:hAnsi="Calibri" w:cs="Calibri"/>
                <w:lang w:val="fr-CA"/>
              </w:rPr>
              <w:br/>
              <w:t xml:space="preserve">e) si la demande vise une licence de poudrière (vendeur), une mention précisant s’il s’agira d’un établissement de vente au </w:t>
            </w:r>
            <w:r w:rsidRPr="00A92CED">
              <w:rPr>
                <w:rFonts w:ascii="Calibri" w:hAnsi="Calibri" w:cs="Calibri"/>
                <w:lang w:val="fr-CA"/>
              </w:rPr>
              <w:lastRenderedPageBreak/>
              <w:t>détail ou d’un établissement de distribution;</w:t>
            </w:r>
            <w:r w:rsidRPr="00A92CED">
              <w:rPr>
                <w:rFonts w:ascii="Calibri" w:hAnsi="Calibri" w:cs="Calibri"/>
                <w:lang w:val="fr-CA"/>
              </w:rPr>
              <w:br/>
              <w:t>f) dans le cas d’un établissement de distribution, une mention précisant si des explosifs y seront réemballés.</w:t>
            </w:r>
          </w:p>
          <w:p w14:paraId="60629AFB" w14:textId="77777777" w:rsidR="003300F2" w:rsidRPr="00A92CED" w:rsidRDefault="003300F2" w:rsidP="00B811AC">
            <w:pPr>
              <w:ind w:left="720"/>
              <w:rPr>
                <w:rFonts w:ascii="Calibri" w:hAnsi="Calibri" w:cs="Calibri"/>
                <w:lang w:val="fr-CA"/>
              </w:rPr>
            </w:pPr>
          </w:p>
          <w:p w14:paraId="41E068B9" w14:textId="77777777" w:rsidR="003300F2" w:rsidRPr="00A92CED" w:rsidRDefault="003300F2" w:rsidP="00B811AC">
            <w:pPr>
              <w:rPr>
                <w:rFonts w:ascii="Calibri" w:hAnsi="Calibri" w:cs="Calibri"/>
                <w:lang w:val="fr-CA"/>
              </w:rPr>
            </w:pPr>
            <w:r w:rsidRPr="00A92CED">
              <w:rPr>
                <w:rFonts w:ascii="Calibri" w:hAnsi="Calibri" w:cs="Calibri"/>
                <w:lang w:val="fr-CA"/>
              </w:rPr>
              <w:t>(2) La demande contient les documents suivants :</w:t>
            </w:r>
          </w:p>
          <w:p w14:paraId="591E5D5E" w14:textId="77777777" w:rsidR="003300F2" w:rsidRPr="00A92CED" w:rsidRDefault="003300F2" w:rsidP="00B811AC">
            <w:pPr>
              <w:ind w:left="720"/>
              <w:rPr>
                <w:rFonts w:ascii="Calibri" w:hAnsi="Calibri" w:cs="Calibri"/>
                <w:lang w:val="fr-CA"/>
              </w:rPr>
            </w:pPr>
            <w:r w:rsidRPr="00A92CED">
              <w:rPr>
                <w:rFonts w:ascii="Calibri" w:hAnsi="Calibri" w:cs="Calibri"/>
                <w:lang w:val="fr-CA"/>
              </w:rPr>
              <w:t>a) un plan du site de poudrière qui indique :</w:t>
            </w:r>
          </w:p>
          <w:p w14:paraId="7CF0C905" w14:textId="3A7EDC21" w:rsidR="003300F2" w:rsidRPr="00A92CED" w:rsidRDefault="003300F2" w:rsidP="00B811AC">
            <w:pPr>
              <w:ind w:left="1440"/>
              <w:rPr>
                <w:rFonts w:ascii="Calibri" w:hAnsi="Calibri" w:cs="Calibri"/>
                <w:lang w:val="fr-CA"/>
              </w:rPr>
            </w:pPr>
            <w:r w:rsidRPr="00A92CED">
              <w:rPr>
                <w:rFonts w:ascii="Calibri" w:hAnsi="Calibri" w:cs="Calibri"/>
                <w:lang w:val="fr-CA"/>
              </w:rPr>
              <w:t>(i)</w:t>
            </w:r>
            <w:r w:rsidRPr="00A92CED">
              <w:rPr>
                <w:rFonts w:ascii="Calibri" w:hAnsi="Calibri" w:cs="Calibri"/>
                <w:b/>
                <w:bCs/>
                <w:lang w:val="fr-CA"/>
              </w:rPr>
              <w:t xml:space="preserve"> </w:t>
            </w:r>
            <w:r w:rsidRPr="00A92CED">
              <w:rPr>
                <w:rFonts w:ascii="Calibri" w:hAnsi="Calibri" w:cs="Calibri"/>
                <w:lang w:val="fr-CA"/>
              </w:rPr>
              <w:t>l’emplacement de chaque poudrière et de</w:t>
            </w:r>
            <w:r w:rsidRPr="00A92CED">
              <w:rPr>
                <w:rFonts w:ascii="Calibri" w:hAnsi="Calibri" w:cs="Calibri"/>
                <w:lang w:val="fr-CA"/>
              </w:rPr>
              <w:br/>
              <w:t>chaque *lieu vulnérable sur le site, ainsi que celui de chaque lieu vulnérable à l’extérieur du site qui est exposé aux dangers (par exemple, débris ou effet de souffle) qui pourraient résulter de l’allumage des explosifs qui seront stockés sur le site,</w:t>
            </w:r>
            <w:r w:rsidRPr="00A92CED">
              <w:rPr>
                <w:rFonts w:ascii="Georgia" w:hAnsi="Georgia"/>
                <w:sz w:val="20"/>
                <w:szCs w:val="20"/>
                <w:lang w:val="fr-CA"/>
              </w:rPr>
              <w:br/>
            </w:r>
            <w:r w:rsidRPr="00A92CED">
              <w:rPr>
                <w:rFonts w:ascii="Calibri" w:hAnsi="Calibri" w:cs="Calibri"/>
                <w:lang w:val="fr-CA"/>
              </w:rPr>
              <w:t>(ii)</w:t>
            </w:r>
            <w:r w:rsidRPr="00A92CED">
              <w:rPr>
                <w:rFonts w:ascii="Calibri" w:hAnsi="Calibri" w:cs="Calibri"/>
                <w:b/>
                <w:bCs/>
                <w:lang w:val="fr-CA"/>
              </w:rPr>
              <w:t xml:space="preserve"> </w:t>
            </w:r>
            <w:r w:rsidRPr="00A92CED">
              <w:rPr>
                <w:rFonts w:ascii="Calibri" w:hAnsi="Calibri" w:cs="Calibri"/>
                <w:lang w:val="fr-CA"/>
              </w:rPr>
              <w:t>la distance, en mètres, entre chaque poudrière</w:t>
            </w:r>
            <w:r w:rsidRPr="00A92CED">
              <w:rPr>
                <w:rFonts w:ascii="Calibri" w:hAnsi="Calibri" w:cs="Calibri"/>
                <w:lang w:val="fr-CA"/>
              </w:rPr>
              <w:br/>
              <w:t>sur le site, entre chaque poudrière sur le site et</w:t>
            </w:r>
            <w:r w:rsidRPr="00A92CED">
              <w:rPr>
                <w:rFonts w:ascii="Calibri" w:hAnsi="Calibri" w:cs="Calibri"/>
                <w:lang w:val="fr-CA"/>
              </w:rPr>
              <w:br/>
            </w:r>
            <w:r w:rsidRPr="00A92CED">
              <w:rPr>
                <w:rFonts w:ascii="Calibri" w:hAnsi="Calibri" w:cs="Calibri"/>
                <w:lang w:val="fr-CA"/>
              </w:rPr>
              <w:lastRenderedPageBreak/>
              <w:t>chaque lieu vulnérable sur le site, ainsi qu’entre</w:t>
            </w:r>
            <w:r w:rsidRPr="00A92CED">
              <w:rPr>
                <w:rFonts w:ascii="Calibri" w:hAnsi="Calibri" w:cs="Calibri"/>
                <w:lang w:val="fr-CA"/>
              </w:rPr>
              <w:br/>
              <w:t>chaque poudrière sur le site et chaque lieu vulné-</w:t>
            </w:r>
            <w:r w:rsidRPr="00A92CED">
              <w:rPr>
                <w:rFonts w:ascii="Calibri" w:hAnsi="Calibri" w:cs="Calibri"/>
                <w:lang w:val="fr-CA"/>
              </w:rPr>
              <w:br/>
              <w:t>rable à l’extérieur du site qui est exposé aux dangers (par exemple, débris ou effet de souffle) qui pourraient résulter de l’allumage des explosifs qui seront stockés sur le site;</w:t>
            </w:r>
          </w:p>
          <w:p w14:paraId="3C5CB7E8" w14:textId="22C4A66B" w:rsidR="003300F2" w:rsidRPr="00A92CED" w:rsidRDefault="003300F2" w:rsidP="00B811AC">
            <w:pPr>
              <w:ind w:left="720"/>
              <w:rPr>
                <w:rFonts w:ascii="Calibri" w:hAnsi="Calibri" w:cs="Calibri"/>
                <w:lang w:val="fr-CA"/>
              </w:rPr>
            </w:pPr>
            <w:r w:rsidRPr="00A92CED">
              <w:rPr>
                <w:rFonts w:ascii="Calibri" w:hAnsi="Calibri" w:cs="Calibri"/>
                <w:lang w:val="fr-CA"/>
              </w:rPr>
              <w:t>b) dans le cas où une ou plusieurs poudrières se trouvent dans une partie d’un bâtiment ou d’une construction, un dessin indiquant l’emplacement de chaque poudrière dans le bâtiment ou la construction ainsi que l’emplacement des entrées et des sorties des pièces ou du secteur où se trouve chaque poudrière et auxquels le public a accès.</w:t>
            </w:r>
          </w:p>
          <w:p w14:paraId="4C08191F" w14:textId="77777777" w:rsidR="003300F2" w:rsidRPr="00A92CED" w:rsidRDefault="003300F2" w:rsidP="00B811AC">
            <w:pPr>
              <w:ind w:left="720"/>
              <w:rPr>
                <w:lang w:val="fr-CA"/>
              </w:rPr>
            </w:pPr>
          </w:p>
          <w:p w14:paraId="6DB88BEE" w14:textId="0FDF2D8E" w:rsidR="003300F2" w:rsidRPr="00A92CED" w:rsidRDefault="003300F2" w:rsidP="00B811AC">
            <w:pPr>
              <w:rPr>
                <w:rFonts w:ascii="Calibri" w:hAnsi="Calibri" w:cs="Calibri"/>
                <w:b/>
                <w:bCs/>
                <w:lang w:val="fr-CA"/>
              </w:rPr>
            </w:pPr>
            <w:r w:rsidRPr="00A92CED">
              <w:rPr>
                <w:rFonts w:ascii="Calibri" w:hAnsi="Calibri" w:cs="Calibri"/>
                <w:lang w:val="fr-CA"/>
              </w:rPr>
              <w:t>(3)</w:t>
            </w:r>
            <w:r w:rsidRPr="00A92CED">
              <w:rPr>
                <w:rFonts w:ascii="Calibri" w:hAnsi="Calibri" w:cs="Calibri"/>
                <w:b/>
                <w:bCs/>
                <w:lang w:val="fr-CA"/>
              </w:rPr>
              <w:t xml:space="preserve"> </w:t>
            </w:r>
            <w:r w:rsidRPr="00A92CED">
              <w:rPr>
                <w:rFonts w:ascii="Calibri" w:hAnsi="Calibri" w:cs="Calibri"/>
                <w:lang w:val="fr-CA"/>
              </w:rPr>
              <w:t>La demande contient les renseignements ci-après à l’égard du site :</w:t>
            </w:r>
          </w:p>
          <w:p w14:paraId="5BDD2936" w14:textId="5BE9070D" w:rsidR="003300F2" w:rsidRPr="00A92CED" w:rsidRDefault="003300F2" w:rsidP="00B811AC">
            <w:pPr>
              <w:ind w:left="720"/>
              <w:rPr>
                <w:rFonts w:ascii="Calibri" w:hAnsi="Calibri" w:cs="Calibri"/>
                <w:lang w:val="fr-CA"/>
              </w:rPr>
            </w:pPr>
            <w:r w:rsidRPr="00A92CED">
              <w:rPr>
                <w:rFonts w:ascii="Calibri" w:hAnsi="Calibri" w:cs="Calibri"/>
                <w:lang w:val="fr-CA"/>
              </w:rPr>
              <w:lastRenderedPageBreak/>
              <w:t>a)</w:t>
            </w:r>
            <w:r w:rsidRPr="00A92CED">
              <w:rPr>
                <w:rFonts w:ascii="Calibri" w:hAnsi="Calibri" w:cs="Calibri"/>
                <w:b/>
                <w:bCs/>
                <w:lang w:val="fr-CA"/>
              </w:rPr>
              <w:t xml:space="preserve"> </w:t>
            </w:r>
            <w:r w:rsidRPr="00A92CED">
              <w:rPr>
                <w:rFonts w:ascii="Calibri" w:hAnsi="Calibri" w:cs="Calibri"/>
                <w:lang w:val="fr-CA"/>
              </w:rPr>
              <w:t>une description de l’utilisation proposée du site et de chaque bâtiment et construction qui s’y trouve;</w:t>
            </w:r>
            <w:r w:rsidRPr="00A92CED">
              <w:rPr>
                <w:rFonts w:ascii="Calibri" w:hAnsi="Calibri" w:cs="Calibri"/>
                <w:lang w:val="fr-CA"/>
              </w:rPr>
              <w:br/>
              <w:t>b) la distance, en mètres, entre chaque poudrière et toute source potentielle d’allumage sur le site;</w:t>
            </w:r>
            <w:r w:rsidRPr="00A92CED">
              <w:rPr>
                <w:rFonts w:ascii="Calibri" w:hAnsi="Calibri" w:cs="Calibri"/>
                <w:lang w:val="fr-CA"/>
              </w:rPr>
              <w:br/>
              <w:t>c) la distance, en mètres, entre chaque poudrière sur le site, entre chaque poudrière sur le site et chaque lieu vulnérable sur le site, ainsi qu’entre chaque poudrière sur le site et chaque lieu vulnérable à l’extérieur du site qui est exposé aux dangers (par exemple, débris ou effet de souffle) qui pourraient résulter de l’allumage des explosifs qui seront stockés sur le site;</w:t>
            </w:r>
            <w:r w:rsidRPr="00A92CED">
              <w:rPr>
                <w:rFonts w:ascii="Calibri" w:hAnsi="Calibri" w:cs="Calibri"/>
                <w:lang w:val="fr-CA"/>
              </w:rPr>
              <w:br/>
              <w:t>d) la distance minimale, en mètres, qui doit être</w:t>
            </w:r>
            <w:r w:rsidRPr="00A92CED">
              <w:rPr>
                <w:rFonts w:ascii="Calibri" w:hAnsi="Calibri" w:cs="Calibri"/>
                <w:lang w:val="fr-CA"/>
              </w:rPr>
              <w:br/>
              <w:t>maintenue entre chaque poudrière et chaque lieu vulnérable indiqué sur le plan du site, comme l’indique la</w:t>
            </w:r>
            <w:r w:rsidRPr="00A92CED">
              <w:rPr>
                <w:rFonts w:ascii="Calibri" w:hAnsi="Calibri" w:cs="Calibri"/>
                <w:lang w:val="fr-CA"/>
              </w:rPr>
              <w:br/>
              <w:t>norme nationale du Canada CAN/BNQ 2910–510/2015</w:t>
            </w:r>
            <w:r w:rsidRPr="00A92CED">
              <w:rPr>
                <w:rFonts w:ascii="Calibri" w:hAnsi="Calibri" w:cs="Calibri"/>
                <w:lang w:val="fr-CA"/>
              </w:rPr>
              <w:br/>
              <w:t xml:space="preserve">intitulée </w:t>
            </w:r>
            <w:r w:rsidRPr="00A92CED">
              <w:rPr>
                <w:rFonts w:ascii="Calibri" w:hAnsi="Calibri" w:cs="Calibri"/>
                <w:i/>
                <w:iCs/>
                <w:lang w:val="fr-CA"/>
              </w:rPr>
              <w:t>Explosifs — Distances par rapport à la quantité d’explosifs</w:t>
            </w:r>
            <w:r w:rsidRPr="00A92CED">
              <w:rPr>
                <w:rFonts w:ascii="Calibri" w:hAnsi="Calibri" w:cs="Calibri"/>
                <w:lang w:val="fr-CA"/>
              </w:rPr>
              <w:t>, avec ses modifications successives;</w:t>
            </w:r>
            <w:r w:rsidRPr="00A92CED">
              <w:rPr>
                <w:rFonts w:ascii="Calibri" w:hAnsi="Calibri" w:cs="Calibri"/>
                <w:lang w:val="fr-CA"/>
              </w:rPr>
              <w:br/>
            </w:r>
            <w:r w:rsidRPr="00A92CED">
              <w:rPr>
                <w:rFonts w:ascii="Calibri" w:hAnsi="Calibri" w:cs="Calibri"/>
                <w:lang w:val="fr-CA"/>
              </w:rPr>
              <w:lastRenderedPageBreak/>
              <w:t>e) une description des dispositifs de sécurité et de sûreté sur le site (par exemple, panneaux, systèmes d’alarme, barrières, clôtures et merlons);</w:t>
            </w:r>
            <w:r w:rsidRPr="00A92CED">
              <w:rPr>
                <w:rFonts w:ascii="Calibri" w:hAnsi="Calibri" w:cs="Calibri"/>
                <w:lang w:val="fr-CA"/>
              </w:rPr>
              <w:br/>
              <w:t>f) pour chaque poudrière sur le site :</w:t>
            </w:r>
          </w:p>
          <w:p w14:paraId="4E82F148" w14:textId="6193372A" w:rsidR="003300F2" w:rsidRPr="00A92CED" w:rsidRDefault="003300F2" w:rsidP="00B811AC">
            <w:pPr>
              <w:ind w:left="1440"/>
              <w:rPr>
                <w:rFonts w:ascii="Calibri" w:hAnsi="Calibri" w:cs="Calibri"/>
                <w:lang w:val="fr-CA"/>
              </w:rPr>
            </w:pPr>
            <w:r w:rsidRPr="00A92CED">
              <w:rPr>
                <w:rFonts w:ascii="Calibri" w:hAnsi="Calibri" w:cs="Calibri"/>
                <w:lang w:val="fr-CA"/>
              </w:rPr>
              <w:t>(i) le numéro de la plaque, le cas échéant, attribué par la Division de la réglementation des explosifs du ministère des Ressources naturelles,</w:t>
            </w:r>
            <w:r w:rsidRPr="00A92CED">
              <w:rPr>
                <w:rFonts w:ascii="Calibri" w:hAnsi="Calibri" w:cs="Calibri"/>
                <w:lang w:val="fr-CA"/>
              </w:rPr>
              <w:br/>
              <w:t xml:space="preserve">(ii) le numéro du type de poudrière auquel elle appartient, comme l’indique la norme nationale du Canada CAN/BNQ 2910–500/2015 intitulée </w:t>
            </w:r>
            <w:r w:rsidRPr="00A92CED">
              <w:rPr>
                <w:rFonts w:ascii="Calibri" w:hAnsi="Calibri" w:cs="Calibri"/>
                <w:i/>
                <w:iCs/>
                <w:lang w:val="fr-CA"/>
              </w:rPr>
              <w:t>Explosifs — Dépôts d’explosifs industriels</w:t>
            </w:r>
            <w:r w:rsidRPr="00A92CED">
              <w:rPr>
                <w:rFonts w:ascii="Calibri" w:hAnsi="Calibri" w:cs="Calibri"/>
                <w:lang w:val="fr-CA"/>
              </w:rPr>
              <w:t>, avec ses modifications successives, ou, si elle ne correspond à aucun type, ses spécifications, notamment les</w:t>
            </w:r>
            <w:r w:rsidRPr="00A92CED">
              <w:rPr>
                <w:rFonts w:ascii="Calibri" w:hAnsi="Calibri" w:cs="Calibri"/>
                <w:lang w:val="fr-CA"/>
              </w:rPr>
              <w:br/>
              <w:t xml:space="preserve">matériaux de construction dont elle est faite et les </w:t>
            </w:r>
            <w:r w:rsidRPr="00A92CED">
              <w:rPr>
                <w:rFonts w:ascii="Calibri" w:hAnsi="Calibri" w:cs="Calibri"/>
                <w:lang w:val="fr-CA"/>
              </w:rPr>
              <w:lastRenderedPageBreak/>
              <w:t>dispositifs de sécurité et de sûreté dont elle est dotée,</w:t>
            </w:r>
            <w:r w:rsidRPr="00A92CED">
              <w:rPr>
                <w:rFonts w:ascii="Calibri" w:hAnsi="Calibri" w:cs="Calibri"/>
                <w:lang w:val="fr-CA"/>
              </w:rPr>
              <w:br/>
              <w:t>(iii) ses dimensions intérieures (longueur, largeur, hauteur), en mètres, à une précision de 0,1 m.</w:t>
            </w:r>
          </w:p>
          <w:p w14:paraId="106F29E1" w14:textId="77777777" w:rsidR="003300F2" w:rsidRPr="00A92CED" w:rsidRDefault="003300F2" w:rsidP="00B811AC">
            <w:pPr>
              <w:rPr>
                <w:rFonts w:ascii="Calibri" w:hAnsi="Calibri" w:cs="Calibri"/>
                <w:lang w:val="fr-CA"/>
              </w:rPr>
            </w:pPr>
          </w:p>
          <w:p w14:paraId="13A66499" w14:textId="1E04AD23" w:rsidR="003300F2" w:rsidRPr="00A92CED" w:rsidRDefault="003300F2" w:rsidP="00B811AC">
            <w:pPr>
              <w:rPr>
                <w:rFonts w:ascii="Calibri" w:hAnsi="Calibri" w:cs="Calibri"/>
                <w:b/>
                <w:bCs/>
                <w:lang w:val="fr-CA"/>
              </w:rPr>
            </w:pPr>
            <w:r w:rsidRPr="00A92CED">
              <w:rPr>
                <w:rFonts w:ascii="Calibri" w:hAnsi="Calibri" w:cs="Calibri"/>
                <w:lang w:val="fr-CA"/>
              </w:rPr>
              <w:t>(4)</w:t>
            </w:r>
            <w:r w:rsidRPr="00A92CED">
              <w:rPr>
                <w:rFonts w:ascii="Calibri" w:hAnsi="Calibri" w:cs="Calibri"/>
                <w:b/>
                <w:bCs/>
                <w:lang w:val="fr-CA"/>
              </w:rPr>
              <w:t xml:space="preserve"> </w:t>
            </w:r>
            <w:r w:rsidRPr="00A92CED">
              <w:rPr>
                <w:rFonts w:ascii="Calibri" w:hAnsi="Calibri" w:cs="Calibri"/>
                <w:lang w:val="fr-CA"/>
              </w:rPr>
              <w:t>La demande contient un plan de sécurité en cas d’incendie qui énonce :</w:t>
            </w:r>
          </w:p>
          <w:p w14:paraId="716DFC79" w14:textId="7129704D" w:rsidR="003300F2" w:rsidRPr="00A92CED" w:rsidRDefault="003300F2" w:rsidP="00B811AC">
            <w:pPr>
              <w:ind w:left="720"/>
              <w:rPr>
                <w:rFonts w:ascii="Calibri" w:hAnsi="Calibri" w:cs="Calibri"/>
                <w:b/>
                <w:bCs/>
                <w:lang w:val="fr-CA"/>
              </w:rPr>
            </w:pPr>
            <w:r w:rsidRPr="00A92CED">
              <w:rPr>
                <w:rFonts w:ascii="Calibri" w:hAnsi="Calibri" w:cs="Calibri"/>
                <w:lang w:val="fr-CA"/>
              </w:rPr>
              <w:t>a) les mesures qui seront prises pour réduire au minimum la probabilité d’un incendie au site et en maîtriser la propagation éventuelle;</w:t>
            </w:r>
            <w:r w:rsidRPr="00A92CED">
              <w:rPr>
                <w:rFonts w:ascii="Calibri" w:hAnsi="Calibri" w:cs="Calibri"/>
                <w:lang w:val="fr-CA"/>
              </w:rPr>
              <w:br/>
              <w:t>b)</w:t>
            </w:r>
            <w:r w:rsidRPr="00A92CED">
              <w:rPr>
                <w:rFonts w:ascii="Calibri" w:hAnsi="Calibri" w:cs="Calibri"/>
                <w:b/>
                <w:bCs/>
                <w:lang w:val="fr-CA"/>
              </w:rPr>
              <w:t xml:space="preserve"> </w:t>
            </w:r>
            <w:r w:rsidRPr="00A92CED">
              <w:rPr>
                <w:rFonts w:ascii="Calibri" w:hAnsi="Calibri" w:cs="Calibri"/>
                <w:lang w:val="fr-CA"/>
              </w:rPr>
              <w:t>les procédures d’urgence à suivre en cas d’incendie,</w:t>
            </w:r>
            <w:r w:rsidRPr="00A92CED">
              <w:rPr>
                <w:rFonts w:ascii="Calibri" w:hAnsi="Calibri" w:cs="Calibri"/>
                <w:lang w:val="fr-CA"/>
              </w:rPr>
              <w:br/>
              <w:t>notamment :</w:t>
            </w:r>
          </w:p>
          <w:p w14:paraId="237BA552" w14:textId="035C10BE" w:rsidR="003300F2" w:rsidRPr="00A92CED" w:rsidRDefault="003300F2" w:rsidP="00B811AC">
            <w:pPr>
              <w:ind w:left="1440"/>
              <w:rPr>
                <w:rFonts w:ascii="Calibri" w:hAnsi="Calibri" w:cs="Calibri"/>
                <w:lang w:val="fr-CA"/>
              </w:rPr>
            </w:pPr>
            <w:r w:rsidRPr="00A92CED">
              <w:rPr>
                <w:rFonts w:ascii="Calibri" w:hAnsi="Calibri" w:cs="Calibri"/>
                <w:lang w:val="fr-CA"/>
              </w:rPr>
              <w:t>(i) le déclenchement des alarmes,</w:t>
            </w:r>
            <w:r w:rsidRPr="00A92CED">
              <w:rPr>
                <w:rFonts w:ascii="Calibri" w:hAnsi="Calibri" w:cs="Calibri"/>
                <w:lang w:val="fr-CA"/>
              </w:rPr>
              <w:br/>
              <w:t>(ii) la notification du service des incendies,</w:t>
            </w:r>
            <w:r w:rsidRPr="00A92CED">
              <w:rPr>
                <w:rFonts w:ascii="Calibri" w:hAnsi="Calibri" w:cs="Calibri"/>
                <w:lang w:val="fr-CA"/>
              </w:rPr>
              <w:br/>
              <w:t>(iii) les procédures d’évacuation, notamment les voies d’évacuation et les lieux de rassemblement sécuritaires;</w:t>
            </w:r>
          </w:p>
          <w:p w14:paraId="5981FBE7" w14:textId="19AED147" w:rsidR="003300F2" w:rsidRPr="00A92CED" w:rsidRDefault="003300F2" w:rsidP="00B811AC">
            <w:pPr>
              <w:ind w:left="720"/>
              <w:rPr>
                <w:rFonts w:ascii="Calibri" w:hAnsi="Calibri" w:cs="Calibri"/>
                <w:lang w:val="fr-CA"/>
              </w:rPr>
            </w:pPr>
            <w:r w:rsidRPr="00A92CED">
              <w:rPr>
                <w:rFonts w:ascii="Calibri" w:hAnsi="Calibri" w:cs="Calibri"/>
                <w:lang w:val="fr-CA"/>
              </w:rPr>
              <w:t xml:space="preserve">c) les situations où il convient de combattre l’incendie et celle où il n’y a pas lieu de le </w:t>
            </w:r>
            <w:r w:rsidRPr="00A92CED">
              <w:rPr>
                <w:rFonts w:ascii="Calibri" w:hAnsi="Calibri" w:cs="Calibri"/>
                <w:lang w:val="fr-CA"/>
              </w:rPr>
              <w:lastRenderedPageBreak/>
              <w:t>faire, ainsi que les procédures permettant de déterminer s’il convient de combattre l’incendie;</w:t>
            </w:r>
            <w:r w:rsidRPr="00A92CED">
              <w:rPr>
                <w:rFonts w:ascii="Calibri" w:hAnsi="Calibri" w:cs="Calibri"/>
                <w:lang w:val="fr-CA"/>
              </w:rPr>
              <w:br/>
              <w:t>d) les mesures qui seront prises pour former le personnel quant aux mesures, procédures et situations.</w:t>
            </w:r>
          </w:p>
          <w:p w14:paraId="6AA9A0D6" w14:textId="77777777" w:rsidR="003300F2" w:rsidRPr="00A92CED" w:rsidRDefault="003300F2" w:rsidP="00B811AC">
            <w:pPr>
              <w:rPr>
                <w:rFonts w:ascii="Calibri" w:hAnsi="Calibri" w:cs="Calibri"/>
                <w:lang w:val="fr-CA"/>
              </w:rPr>
            </w:pPr>
          </w:p>
          <w:p w14:paraId="088C1C5E" w14:textId="77777777" w:rsidR="003300F2" w:rsidRPr="00A92CED" w:rsidRDefault="003300F2" w:rsidP="00B811AC">
            <w:pPr>
              <w:rPr>
                <w:rFonts w:ascii="Calibri" w:hAnsi="Calibri" w:cs="Calibri"/>
                <w:lang w:val="fr-CA"/>
              </w:rPr>
            </w:pPr>
            <w:r w:rsidRPr="00A92CED">
              <w:rPr>
                <w:rFonts w:ascii="Calibri" w:hAnsi="Calibri" w:cs="Calibri"/>
                <w:lang w:val="fr-CA"/>
              </w:rPr>
              <w:t>(5) Dans le cas où des explosifs de type E, I ou D seront stockés, la demande contient un plan de sécurité du site qui renferme les renseignements suivants :</w:t>
            </w:r>
          </w:p>
          <w:p w14:paraId="022907D6" w14:textId="77777777" w:rsidR="003300F2" w:rsidRPr="00A92CED" w:rsidRDefault="003300F2" w:rsidP="00B811AC">
            <w:pPr>
              <w:ind w:left="720"/>
              <w:rPr>
                <w:rFonts w:ascii="Calibri" w:hAnsi="Calibri" w:cs="Calibri"/>
                <w:lang w:val="fr-CA"/>
              </w:rPr>
            </w:pPr>
            <w:r w:rsidRPr="00A92CED">
              <w:rPr>
                <w:rFonts w:ascii="Calibri" w:hAnsi="Calibri" w:cs="Calibri"/>
                <w:lang w:val="fr-CA"/>
              </w:rPr>
              <w:t>a) une évaluation des risques à la sécurité créés par la présence des explosifs sur le site;</w:t>
            </w:r>
            <w:r w:rsidRPr="00A92CED">
              <w:rPr>
                <w:rFonts w:ascii="Calibri" w:hAnsi="Calibri" w:cs="Calibri"/>
                <w:lang w:val="fr-CA"/>
              </w:rPr>
              <w:br/>
              <w:t>b) une description des précautions à prendre pour réduire au minimum ces risques;</w:t>
            </w:r>
          </w:p>
          <w:p w14:paraId="7B1E4D5E" w14:textId="77777777" w:rsidR="003300F2" w:rsidRPr="00A92CED" w:rsidRDefault="003300F2" w:rsidP="00B811AC">
            <w:pPr>
              <w:ind w:left="720"/>
              <w:rPr>
                <w:rFonts w:ascii="Calibri" w:hAnsi="Calibri" w:cs="Calibri"/>
                <w:lang w:val="fr-CA"/>
              </w:rPr>
            </w:pPr>
            <w:r w:rsidRPr="00A92CED">
              <w:rPr>
                <w:rFonts w:ascii="Calibri" w:hAnsi="Calibri" w:cs="Calibri"/>
                <w:lang w:val="fr-CA"/>
              </w:rPr>
              <w:t>c) une description des procédures à suivre pour faire face aux incidents liés à la sécurité;</w:t>
            </w:r>
            <w:r w:rsidRPr="00A92CED">
              <w:rPr>
                <w:rFonts w:ascii="Calibri" w:hAnsi="Calibri" w:cs="Calibri"/>
                <w:lang w:val="fr-CA"/>
              </w:rPr>
              <w:br/>
              <w:t>d) une description des procédures à suivre pour signaler les incidents liés à la sécurité.</w:t>
            </w:r>
          </w:p>
          <w:p w14:paraId="548B0AEE" w14:textId="77777777" w:rsidR="003300F2" w:rsidRPr="00A92CED" w:rsidRDefault="003300F2" w:rsidP="00B811AC">
            <w:pPr>
              <w:rPr>
                <w:rFonts w:ascii="Calibri" w:hAnsi="Calibri" w:cs="Calibri"/>
                <w:lang w:val="fr-CA"/>
              </w:rPr>
            </w:pPr>
          </w:p>
          <w:p w14:paraId="752F4013" w14:textId="12DCDECF" w:rsidR="003300F2" w:rsidRPr="00A92CED" w:rsidRDefault="003300F2" w:rsidP="00B811AC">
            <w:pPr>
              <w:rPr>
                <w:rFonts w:ascii="Calibri" w:hAnsi="Calibri" w:cs="Calibri"/>
                <w:lang w:val="fr-CA"/>
              </w:rPr>
            </w:pPr>
            <w:r w:rsidRPr="00A92CED">
              <w:rPr>
                <w:rFonts w:ascii="Calibri" w:hAnsi="Calibri" w:cs="Calibri"/>
                <w:lang w:val="fr-CA"/>
              </w:rPr>
              <w:t>(6)</w:t>
            </w:r>
            <w:r w:rsidRPr="00A92CED">
              <w:rPr>
                <w:rFonts w:ascii="Calibri" w:hAnsi="Calibri" w:cs="Calibri"/>
                <w:b/>
                <w:bCs/>
                <w:lang w:val="fr-CA"/>
              </w:rPr>
              <w:t xml:space="preserve"> </w:t>
            </w:r>
            <w:r w:rsidRPr="00A92CED">
              <w:rPr>
                <w:rFonts w:ascii="Calibri" w:hAnsi="Calibri" w:cs="Calibri"/>
                <w:lang w:val="fr-CA"/>
              </w:rPr>
              <w:t xml:space="preserve">Dans le cas où le site de poudrière est un établissement de distribution </w:t>
            </w:r>
            <w:r w:rsidRPr="00A92CED">
              <w:rPr>
                <w:rFonts w:ascii="Calibri" w:hAnsi="Calibri" w:cs="Calibri"/>
                <w:lang w:val="fr-CA"/>
              </w:rPr>
              <w:lastRenderedPageBreak/>
              <w:t>où des fusées éclairantes marines (types S.1 et S.2) seront stockées, la demande contient un plan de destruction indiquant l’endroit où les fusées périmées qui ont été retournées au site seront stockées et celui où elles seront détruites, ainsi que la manière dont elles seront stockées et détruites.</w:t>
            </w:r>
          </w:p>
          <w:p w14:paraId="30B9FD28" w14:textId="77777777" w:rsidR="003300F2" w:rsidRPr="00A92CED" w:rsidRDefault="003300F2" w:rsidP="00B811AC">
            <w:pPr>
              <w:rPr>
                <w:rFonts w:ascii="Calibri" w:hAnsi="Calibri" w:cs="Calibri"/>
                <w:lang w:val="fr-CA"/>
              </w:rPr>
            </w:pPr>
          </w:p>
          <w:p w14:paraId="6A31C2DE" w14:textId="7CB975B3" w:rsidR="003300F2" w:rsidRPr="00A92CED" w:rsidRDefault="003300F2" w:rsidP="00B811AC">
            <w:pPr>
              <w:rPr>
                <w:rFonts w:ascii="Calibri" w:hAnsi="Calibri" w:cs="Calibri"/>
                <w:lang w:val="fr-CA"/>
              </w:rPr>
            </w:pPr>
            <w:r w:rsidRPr="00A92CED">
              <w:rPr>
                <w:rFonts w:ascii="Calibri" w:hAnsi="Calibri" w:cs="Calibri"/>
                <w:lang w:val="fr-CA"/>
              </w:rPr>
              <w:t>(7) Chaque poudrière et chaque lieu vulnérable indiqué sur le plan du site est identifié par un numéro, une lettre ou un nom distinctif, qui sert à l’identifier dans le plan du site et dans la description du site.</w:t>
            </w:r>
          </w:p>
          <w:p w14:paraId="120DA89A" w14:textId="77777777" w:rsidR="003300F2" w:rsidRPr="00A92CED" w:rsidRDefault="003300F2" w:rsidP="00B811AC">
            <w:pPr>
              <w:rPr>
                <w:rFonts w:ascii="Calibri" w:hAnsi="Calibri" w:cs="Calibri"/>
                <w:lang w:val="fr-CA"/>
              </w:rPr>
            </w:pPr>
          </w:p>
          <w:p w14:paraId="3109C947" w14:textId="0672A676" w:rsidR="003300F2" w:rsidRPr="00A92CED" w:rsidRDefault="003300F2" w:rsidP="00B811AC">
            <w:pPr>
              <w:rPr>
                <w:rFonts w:ascii="Calibri" w:hAnsi="Calibri" w:cs="Calibri"/>
                <w:lang w:val="fr-CA"/>
              </w:rPr>
            </w:pPr>
            <w:r w:rsidRPr="00A92CED">
              <w:rPr>
                <w:rFonts w:ascii="Calibri" w:hAnsi="Calibri" w:cs="Calibri"/>
                <w:lang w:val="fr-CA"/>
              </w:rPr>
              <w:t>(8) Chaque dessin ou plan est fait à l’échelle, ou constitue une approximation raisonnable des distances ou dimensions réelles, et comporte une légende.</w:t>
            </w:r>
          </w:p>
          <w:p w14:paraId="5F7B7E82" w14:textId="77777777" w:rsidR="003300F2" w:rsidRPr="00A92CED" w:rsidRDefault="003300F2" w:rsidP="00B811AC">
            <w:pPr>
              <w:rPr>
                <w:rFonts w:ascii="Calibri" w:hAnsi="Calibri" w:cs="Calibri"/>
                <w:lang w:val="fr-CA"/>
              </w:rPr>
            </w:pPr>
          </w:p>
          <w:p w14:paraId="1FB139A3" w14:textId="03E08D10" w:rsidR="003300F2" w:rsidRPr="00A92CED" w:rsidRDefault="003300F2" w:rsidP="00B811AC">
            <w:pPr>
              <w:rPr>
                <w:rFonts w:ascii="Calibri" w:hAnsi="Calibri" w:cs="Calibri"/>
                <w:lang w:val="fr-CA"/>
              </w:rPr>
            </w:pPr>
            <w:r w:rsidRPr="00A92CED">
              <w:rPr>
                <w:rFonts w:ascii="Calibri" w:hAnsi="Calibri" w:cs="Calibri"/>
                <w:lang w:val="fr-CA"/>
              </w:rPr>
              <w:t>(9) Si la demande porte sur une licence de poudrière (utilisateur-zone), les exigences prévues aux paragraphes (1) à (8) s’appliquent au site initial de la poudrière.</w:t>
            </w:r>
          </w:p>
          <w:p w14:paraId="6CFCF815" w14:textId="77777777" w:rsidR="003300F2" w:rsidRPr="00A92CED" w:rsidRDefault="003300F2" w:rsidP="00B811AC">
            <w:pPr>
              <w:rPr>
                <w:rFonts w:ascii="Calibri" w:hAnsi="Calibri" w:cs="Calibri"/>
                <w:lang w:val="fr-CA"/>
              </w:rPr>
            </w:pPr>
          </w:p>
          <w:p w14:paraId="7B67887D" w14:textId="3258C213" w:rsidR="003300F2" w:rsidRPr="00A92CED" w:rsidRDefault="003300F2" w:rsidP="00B811AC">
            <w:pPr>
              <w:autoSpaceDE w:val="0"/>
              <w:autoSpaceDN w:val="0"/>
              <w:adjustRightInd w:val="0"/>
              <w:rPr>
                <w:b/>
                <w:bCs/>
                <w:lang w:val="fr-CA"/>
              </w:rPr>
            </w:pPr>
            <w:r w:rsidRPr="00A92CED">
              <w:rPr>
                <w:rFonts w:ascii="Calibri" w:hAnsi="Calibri" w:cs="Calibri"/>
                <w:lang w:val="fr-CA"/>
              </w:rPr>
              <w:t>(10) Le demandeur d’une licence de poudrière paie les droits applicables prévus à la partie 19.</w:t>
            </w:r>
          </w:p>
        </w:tc>
        <w:tc>
          <w:tcPr>
            <w:tcW w:w="4076" w:type="dxa"/>
          </w:tcPr>
          <w:p w14:paraId="525EBC1A" w14:textId="1FC31EBE" w:rsidR="003300F2" w:rsidRPr="00A92CED" w:rsidRDefault="003300F2" w:rsidP="00EF5B61">
            <w:pPr>
              <w:rPr>
                <w:lang w:val="fr-CA"/>
              </w:rPr>
            </w:pPr>
            <w:r w:rsidRPr="00A92CED">
              <w:rPr>
                <w:lang w:val="fr-CA"/>
              </w:rPr>
              <w:lastRenderedPageBreak/>
              <w:t xml:space="preserve">Modifier l’article 145 pour ajouter la nouvelle exigence ci-après stipulant que la demande de licence d’expédition directe doit contenir les renseignements suivants : </w:t>
            </w:r>
          </w:p>
          <w:p w14:paraId="17630E49" w14:textId="172BE1DE" w:rsidR="003300F2" w:rsidRPr="00A92CED" w:rsidRDefault="003300F2" w:rsidP="00EF5B61">
            <w:pPr>
              <w:pStyle w:val="ListParagraph"/>
              <w:numPr>
                <w:ilvl w:val="0"/>
                <w:numId w:val="17"/>
              </w:numPr>
              <w:rPr>
                <w:lang w:val="fr-CA"/>
              </w:rPr>
            </w:pPr>
            <w:r w:rsidRPr="00A92CED">
              <w:rPr>
                <w:lang w:val="fr-CA"/>
              </w:rPr>
              <w:t>les types d’explosifs que le titulaire d’une licence d’expédition directe peut acquérir et vendre;</w:t>
            </w:r>
          </w:p>
          <w:p w14:paraId="5061A987" w14:textId="231C0043" w:rsidR="003300F2" w:rsidRPr="00A92CED" w:rsidRDefault="003300F2" w:rsidP="00EF5B61">
            <w:pPr>
              <w:pStyle w:val="ListParagraph"/>
              <w:numPr>
                <w:ilvl w:val="0"/>
                <w:numId w:val="17"/>
              </w:numPr>
              <w:rPr>
                <w:lang w:val="fr-CA"/>
              </w:rPr>
            </w:pPr>
            <w:r w:rsidRPr="00A92CED">
              <w:rPr>
                <w:lang w:val="fr-CA"/>
              </w:rPr>
              <w:t>la quantité maximale d’explosifs, par transaction, que le titulaire d’une licence d’expédition directe peut acquérir et vendre.</w:t>
            </w:r>
          </w:p>
          <w:p w14:paraId="4DEC1CF1" w14:textId="54645502" w:rsidR="003300F2" w:rsidRPr="00A92CED" w:rsidRDefault="003300F2" w:rsidP="00EF5B61">
            <w:pPr>
              <w:rPr>
                <w:lang w:val="fr-CA"/>
              </w:rPr>
            </w:pPr>
          </w:p>
        </w:tc>
        <w:tc>
          <w:tcPr>
            <w:tcW w:w="3143" w:type="dxa"/>
            <w:gridSpan w:val="2"/>
          </w:tcPr>
          <w:p w14:paraId="761F3B5D" w14:textId="6F4BBB4E" w:rsidR="003300F2" w:rsidRPr="00A92CED" w:rsidRDefault="003300F2" w:rsidP="00B811AC">
            <w:pPr>
              <w:rPr>
                <w:rFonts w:cstheme="minorHAnsi"/>
                <w:sz w:val="20"/>
                <w:szCs w:val="20"/>
                <w:lang w:val="fr-CA"/>
              </w:rPr>
            </w:pPr>
            <w:r w:rsidRPr="00A92CED">
              <w:rPr>
                <w:lang w:val="fr-CA"/>
              </w:rPr>
              <w:t xml:space="preserve">Cet amendement proposé appuie l’amendement qu’il est proposé d’apporter à l’article 144, au point 49 du présent document de consultation, pour créer une nouvelle définition de </w:t>
            </w:r>
            <w:r w:rsidRPr="00A92CED">
              <w:rPr>
                <w:rFonts w:cstheme="minorHAnsi"/>
                <w:lang w:val="fr-CA"/>
              </w:rPr>
              <w:t>« licence d’expédition directe </w:t>
            </w:r>
            <w:r w:rsidRPr="00A92CED">
              <w:rPr>
                <w:rFonts w:ascii="Calibri" w:hAnsi="Calibri" w:cs="Calibri"/>
                <w:lang w:val="fr-CA"/>
              </w:rPr>
              <w:t>» en énumérant les exigences spécifiques relatives à la demande de licence d’expédition directe.</w:t>
            </w:r>
          </w:p>
        </w:tc>
        <w:tc>
          <w:tcPr>
            <w:tcW w:w="3087" w:type="dxa"/>
          </w:tcPr>
          <w:p w14:paraId="27355B9E" w14:textId="77777777" w:rsidR="003300F2" w:rsidRPr="00A92CED" w:rsidRDefault="003300F2" w:rsidP="00B811AC">
            <w:pPr>
              <w:rPr>
                <w:rFonts w:cstheme="minorHAnsi"/>
                <w:sz w:val="20"/>
                <w:szCs w:val="20"/>
                <w:lang w:val="fr-CA"/>
              </w:rPr>
            </w:pPr>
          </w:p>
        </w:tc>
      </w:tr>
      <w:tr w:rsidR="00A92CED" w:rsidRPr="00A92CED" w14:paraId="49BFE8CE" w14:textId="77777777" w:rsidTr="00E10233">
        <w:tc>
          <w:tcPr>
            <w:tcW w:w="3126" w:type="dxa"/>
          </w:tcPr>
          <w:p w14:paraId="1AA8C562" w14:textId="77777777" w:rsidR="003300F2" w:rsidRPr="00A92CED" w:rsidRDefault="003300F2" w:rsidP="00B811AC">
            <w:pPr>
              <w:pStyle w:val="ListParagraph"/>
              <w:numPr>
                <w:ilvl w:val="0"/>
                <w:numId w:val="1"/>
              </w:numPr>
              <w:jc w:val="center"/>
              <w:rPr>
                <w:lang w:val="fr-CA"/>
              </w:rPr>
            </w:pPr>
          </w:p>
        </w:tc>
        <w:tc>
          <w:tcPr>
            <w:tcW w:w="3715" w:type="dxa"/>
          </w:tcPr>
          <w:p w14:paraId="57A90037" w14:textId="37A1C343" w:rsidR="003300F2" w:rsidRPr="00A92CED" w:rsidRDefault="003300F2" w:rsidP="00B811AC">
            <w:pPr>
              <w:autoSpaceDE w:val="0"/>
              <w:autoSpaceDN w:val="0"/>
              <w:adjustRightInd w:val="0"/>
              <w:rPr>
                <w:rFonts w:ascii="Calibri" w:hAnsi="Calibri" w:cs="Calibri"/>
                <w:b/>
                <w:bCs/>
                <w:lang w:val="fr-CA"/>
              </w:rPr>
            </w:pPr>
            <w:r w:rsidRPr="00A92CED">
              <w:rPr>
                <w:rFonts w:ascii="Calibri" w:hAnsi="Calibri" w:cs="Calibri"/>
                <w:b/>
                <w:bCs/>
                <w:lang w:val="fr-CA"/>
              </w:rPr>
              <w:t xml:space="preserve">146 </w:t>
            </w:r>
            <w:r w:rsidRPr="00A92CED">
              <w:rPr>
                <w:rFonts w:ascii="Calibri" w:hAnsi="Calibri" w:cs="Calibri"/>
                <w:lang w:val="fr-CA"/>
              </w:rPr>
              <w:t>Le titulaire d’une licence de poudrière veille à ce que les exigences prévues aux articles 147 à 160 soient respectées et à ce que les personnes visées à l’article 161 soient informées de l’obligation qui y est prévue à leur égard.</w:t>
            </w:r>
          </w:p>
        </w:tc>
        <w:tc>
          <w:tcPr>
            <w:tcW w:w="4076" w:type="dxa"/>
          </w:tcPr>
          <w:p w14:paraId="097A1FFE" w14:textId="04CD8EF8" w:rsidR="003300F2" w:rsidRPr="00A92CED" w:rsidRDefault="003300F2" w:rsidP="00B811AC">
            <w:pPr>
              <w:rPr>
                <w:lang w:val="fr-CA"/>
              </w:rPr>
            </w:pPr>
            <w:r w:rsidRPr="00A92CED">
              <w:rPr>
                <w:lang w:val="fr-CA"/>
              </w:rPr>
              <w:t xml:space="preserve">Modifier l’article 146 pour remplacer </w:t>
            </w:r>
            <w:r w:rsidRPr="00A92CED">
              <w:rPr>
                <w:rFonts w:cstheme="minorHAnsi"/>
                <w:lang w:val="fr-CA"/>
              </w:rPr>
              <w:t>« d’une licence de poudrière </w:t>
            </w:r>
            <w:r w:rsidRPr="00A92CED">
              <w:rPr>
                <w:rFonts w:ascii="Calibri" w:hAnsi="Calibri" w:cs="Calibri"/>
                <w:lang w:val="fr-CA"/>
              </w:rPr>
              <w:t xml:space="preserve">» par </w:t>
            </w:r>
            <w:r w:rsidRPr="00A92CED">
              <w:rPr>
                <w:rFonts w:cstheme="minorHAnsi"/>
                <w:lang w:val="fr-CA"/>
              </w:rPr>
              <w:t>« d’une licence de poudrière (utilisateur), d’une licence de poudrière (vendeur) ou d’une licence de poudrière (utilisateur-zone) </w:t>
            </w:r>
            <w:r w:rsidRPr="00A92CED">
              <w:rPr>
                <w:rFonts w:ascii="Calibri" w:hAnsi="Calibri" w:cs="Calibri"/>
                <w:lang w:val="fr-CA"/>
              </w:rPr>
              <w:t>»</w:t>
            </w:r>
            <w:r w:rsidRPr="00A92CED">
              <w:rPr>
                <w:lang w:val="fr-CA"/>
              </w:rPr>
              <w:t>.</w:t>
            </w:r>
          </w:p>
        </w:tc>
        <w:tc>
          <w:tcPr>
            <w:tcW w:w="3143" w:type="dxa"/>
            <w:gridSpan w:val="2"/>
          </w:tcPr>
          <w:p w14:paraId="2D29F6DE" w14:textId="5B850281" w:rsidR="003300F2" w:rsidRPr="00A92CED" w:rsidRDefault="003300F2" w:rsidP="00B811AC">
            <w:pPr>
              <w:rPr>
                <w:rFonts w:cstheme="minorHAnsi"/>
                <w:sz w:val="20"/>
                <w:szCs w:val="20"/>
                <w:lang w:val="fr-CA"/>
              </w:rPr>
            </w:pPr>
            <w:r w:rsidRPr="00A92CED">
              <w:rPr>
                <w:lang w:val="fr-CA"/>
              </w:rPr>
              <w:t>Cet amendement proposé vise à clarifier les types de licences auxquels les articles 147 à 161 s’appliquent.</w:t>
            </w:r>
          </w:p>
        </w:tc>
        <w:tc>
          <w:tcPr>
            <w:tcW w:w="3087" w:type="dxa"/>
          </w:tcPr>
          <w:p w14:paraId="3DF060D7" w14:textId="77777777" w:rsidR="003300F2" w:rsidRPr="00A92CED" w:rsidRDefault="003300F2" w:rsidP="00B811AC">
            <w:pPr>
              <w:rPr>
                <w:rFonts w:cstheme="minorHAnsi"/>
                <w:sz w:val="20"/>
                <w:szCs w:val="20"/>
                <w:lang w:val="fr-CA"/>
              </w:rPr>
            </w:pPr>
          </w:p>
        </w:tc>
      </w:tr>
      <w:tr w:rsidR="00A92CED" w:rsidRPr="00A92CED" w14:paraId="094E6678" w14:textId="77777777" w:rsidTr="00E10233">
        <w:tc>
          <w:tcPr>
            <w:tcW w:w="3126" w:type="dxa"/>
          </w:tcPr>
          <w:p w14:paraId="5B215DF2" w14:textId="77777777" w:rsidR="003300F2" w:rsidRPr="00A92CED" w:rsidRDefault="003300F2" w:rsidP="00B811AC">
            <w:pPr>
              <w:pStyle w:val="ListParagraph"/>
              <w:numPr>
                <w:ilvl w:val="0"/>
                <w:numId w:val="1"/>
              </w:numPr>
              <w:jc w:val="center"/>
              <w:rPr>
                <w:lang w:val="fr-CA"/>
              </w:rPr>
            </w:pPr>
          </w:p>
        </w:tc>
        <w:tc>
          <w:tcPr>
            <w:tcW w:w="3715" w:type="dxa"/>
          </w:tcPr>
          <w:p w14:paraId="2A1DFA16" w14:textId="258322A4" w:rsidR="003300F2" w:rsidRPr="00A92CED" w:rsidRDefault="003300F2" w:rsidP="00B811AC">
            <w:pPr>
              <w:autoSpaceDE w:val="0"/>
              <w:autoSpaceDN w:val="0"/>
              <w:adjustRightInd w:val="0"/>
              <w:rPr>
                <w:rFonts w:ascii="Calibri" w:hAnsi="Calibri" w:cs="Calibri"/>
                <w:b/>
                <w:bCs/>
                <w:lang w:val="fr-CA"/>
              </w:rPr>
            </w:pPr>
            <w:r w:rsidRPr="00A92CED">
              <w:rPr>
                <w:rFonts w:ascii="Calibri" w:hAnsi="Calibri" w:cs="Calibri"/>
                <w:b/>
                <w:bCs/>
                <w:lang w:val="fr-CA"/>
              </w:rPr>
              <w:t>147</w:t>
            </w:r>
            <w:r w:rsidRPr="00A92CED">
              <w:rPr>
                <w:rFonts w:ascii="Calibri" w:hAnsi="Calibri" w:cs="Calibri"/>
                <w:lang w:val="fr-CA"/>
              </w:rPr>
              <w:t xml:space="preserve"> (2) Dans le cas d’une licence de poudrière (vendeur) et d’une licence de poudrière (utilisateur), la distance acceptable est déterminée par le ministre en fonction des risques pour les personnes ou les biens, compte tenu de la quantité et du type d’*explosifs qui seront stockés dans la poudrière, de la solidité, de la proximité et de l’utilisation des constructions et des infrastructures avoisinantes et du nombre de personnes qui sont fort susceptibles de se trouver à proximité de la poudrière à tout moment.</w:t>
            </w:r>
          </w:p>
        </w:tc>
        <w:tc>
          <w:tcPr>
            <w:tcW w:w="4076" w:type="dxa"/>
          </w:tcPr>
          <w:p w14:paraId="5B0FEA6B" w14:textId="3BA2B6F5" w:rsidR="003300F2" w:rsidRPr="00A92CED" w:rsidRDefault="003300F2" w:rsidP="00B811AC">
            <w:pPr>
              <w:rPr>
                <w:lang w:val="fr-CA"/>
              </w:rPr>
            </w:pPr>
            <w:r w:rsidRPr="00A92CED">
              <w:rPr>
                <w:lang w:val="fr-CA"/>
              </w:rPr>
              <w:t xml:space="preserve">Modifier le paragraphe 147(2) pour supprimer </w:t>
            </w:r>
            <w:r w:rsidRPr="00A92CED">
              <w:rPr>
                <w:rFonts w:cstheme="minorHAnsi"/>
                <w:lang w:val="fr-CA"/>
              </w:rPr>
              <w:t>« Dans le cas d’une licence de poudrière (vendeur et d’une licence de poudrière (utilisateur) </w:t>
            </w:r>
            <w:r w:rsidRPr="00A92CED">
              <w:rPr>
                <w:rFonts w:ascii="Calibri" w:hAnsi="Calibri" w:cs="Calibri"/>
                <w:lang w:val="fr-CA"/>
              </w:rPr>
              <w:t>».</w:t>
            </w:r>
          </w:p>
        </w:tc>
        <w:tc>
          <w:tcPr>
            <w:tcW w:w="3143" w:type="dxa"/>
            <w:gridSpan w:val="2"/>
          </w:tcPr>
          <w:p w14:paraId="0CA0EF34" w14:textId="33EAF940" w:rsidR="003300F2" w:rsidRPr="00A92CED" w:rsidRDefault="003300F2" w:rsidP="00B811AC">
            <w:pPr>
              <w:rPr>
                <w:rFonts w:cstheme="minorHAnsi"/>
                <w:sz w:val="20"/>
                <w:szCs w:val="20"/>
                <w:lang w:val="fr-CA"/>
              </w:rPr>
            </w:pPr>
            <w:r w:rsidRPr="00A92CED">
              <w:rPr>
                <w:lang w:val="fr-CA"/>
              </w:rPr>
              <w:t>Cet amendement proposé vise à harmoniser les exigences énoncées pour tous les types de licences. Dans le cadre de cet amendement proposé, l’intention de la politique est que le paragraphe 147(2) s’applique à tous les types de licences.</w:t>
            </w:r>
          </w:p>
        </w:tc>
        <w:tc>
          <w:tcPr>
            <w:tcW w:w="3087" w:type="dxa"/>
          </w:tcPr>
          <w:p w14:paraId="150559B0" w14:textId="77777777" w:rsidR="003300F2" w:rsidRPr="00A92CED" w:rsidRDefault="003300F2" w:rsidP="00B811AC">
            <w:pPr>
              <w:rPr>
                <w:rFonts w:cstheme="minorHAnsi"/>
                <w:sz w:val="20"/>
                <w:szCs w:val="20"/>
                <w:lang w:val="fr-CA"/>
              </w:rPr>
            </w:pPr>
          </w:p>
        </w:tc>
      </w:tr>
      <w:tr w:rsidR="00A92CED" w:rsidRPr="00A92CED" w14:paraId="5E61B9BB" w14:textId="77777777" w:rsidTr="00E10233">
        <w:tc>
          <w:tcPr>
            <w:tcW w:w="3126" w:type="dxa"/>
          </w:tcPr>
          <w:p w14:paraId="45E2A956" w14:textId="77777777" w:rsidR="003300F2" w:rsidRPr="00A92CED" w:rsidRDefault="003300F2" w:rsidP="00B811AC">
            <w:pPr>
              <w:pStyle w:val="ListParagraph"/>
              <w:numPr>
                <w:ilvl w:val="0"/>
                <w:numId w:val="1"/>
              </w:numPr>
              <w:jc w:val="center"/>
              <w:rPr>
                <w:lang w:val="fr-CA"/>
              </w:rPr>
            </w:pPr>
          </w:p>
        </w:tc>
        <w:tc>
          <w:tcPr>
            <w:tcW w:w="3715" w:type="dxa"/>
          </w:tcPr>
          <w:p w14:paraId="23872827" w14:textId="1FDD6EAC" w:rsidR="003300F2" w:rsidRPr="00A92CED" w:rsidRDefault="003300F2" w:rsidP="00B811AC">
            <w:pPr>
              <w:autoSpaceDE w:val="0"/>
              <w:autoSpaceDN w:val="0"/>
              <w:adjustRightInd w:val="0"/>
              <w:rPr>
                <w:rFonts w:ascii="Calibri" w:hAnsi="Calibri" w:cs="Calibri"/>
                <w:b/>
                <w:bCs/>
                <w:lang w:val="fr-CA"/>
              </w:rPr>
            </w:pPr>
            <w:r w:rsidRPr="00A92CED">
              <w:rPr>
                <w:rFonts w:ascii="Calibri" w:hAnsi="Calibri" w:cs="Calibri"/>
                <w:b/>
                <w:bCs/>
                <w:lang w:val="fr-CA"/>
              </w:rPr>
              <w:t>147</w:t>
            </w:r>
            <w:r w:rsidRPr="00A92CED">
              <w:rPr>
                <w:rFonts w:ascii="Calibri" w:hAnsi="Calibri" w:cs="Calibri"/>
                <w:lang w:val="fr-CA"/>
              </w:rPr>
              <w:t xml:space="preserve"> (3) Dans le cas d’une licence de poudrière (utilisateur-zone), la distance acceptable sur un site est la distance</w:t>
            </w:r>
            <w:r w:rsidRPr="00A92CED">
              <w:rPr>
                <w:rFonts w:ascii="Calibri" w:hAnsi="Calibri" w:cs="Calibri"/>
                <w:lang w:val="fr-CA"/>
              </w:rPr>
              <w:br/>
              <w:t xml:space="preserve">minimale, en mètres, qui devra être maintenue entre la poudrière et chaque *lieu vulnérable indiqué sur le plan du site, comme l’indique la norme nationale du Canada CAN/BNQ 2910–510/2015 intitulée </w:t>
            </w:r>
            <w:r w:rsidRPr="00A92CED">
              <w:rPr>
                <w:rFonts w:ascii="Calibri" w:hAnsi="Calibri" w:cs="Calibri"/>
                <w:i/>
                <w:iCs/>
                <w:lang w:val="fr-CA"/>
              </w:rPr>
              <w:t xml:space="preserve">Explosifs — Distances par rapport à la quantité </w:t>
            </w:r>
            <w:r w:rsidRPr="00A92CED">
              <w:rPr>
                <w:rFonts w:ascii="Calibri" w:hAnsi="Calibri" w:cs="Calibri"/>
                <w:i/>
                <w:iCs/>
                <w:lang w:val="fr-CA"/>
              </w:rPr>
              <w:lastRenderedPageBreak/>
              <w:t>d’explosifs</w:t>
            </w:r>
            <w:r w:rsidRPr="00A92CED">
              <w:rPr>
                <w:rFonts w:ascii="Calibri" w:hAnsi="Calibri" w:cs="Calibri"/>
                <w:lang w:val="fr-CA"/>
              </w:rPr>
              <w:t>, avec ses modifications successives.</w:t>
            </w:r>
          </w:p>
        </w:tc>
        <w:tc>
          <w:tcPr>
            <w:tcW w:w="4076" w:type="dxa"/>
          </w:tcPr>
          <w:p w14:paraId="131C26D4" w14:textId="40DC6EE6" w:rsidR="003300F2" w:rsidRPr="00A92CED" w:rsidRDefault="003300F2" w:rsidP="00B811AC">
            <w:pPr>
              <w:rPr>
                <w:lang w:val="fr-CA"/>
              </w:rPr>
            </w:pPr>
            <w:r w:rsidRPr="00A92CED">
              <w:rPr>
                <w:lang w:val="fr-CA"/>
              </w:rPr>
              <w:lastRenderedPageBreak/>
              <w:t>Modifier l’article 147 pour supprimer le paragraphe (3).</w:t>
            </w:r>
          </w:p>
        </w:tc>
        <w:tc>
          <w:tcPr>
            <w:tcW w:w="3143" w:type="dxa"/>
            <w:gridSpan w:val="2"/>
          </w:tcPr>
          <w:p w14:paraId="3A0A5182" w14:textId="6FA0946E" w:rsidR="003300F2" w:rsidRPr="00A92CED" w:rsidRDefault="003300F2" w:rsidP="00B811AC">
            <w:pPr>
              <w:rPr>
                <w:rFonts w:cstheme="minorHAnsi"/>
                <w:sz w:val="20"/>
                <w:szCs w:val="20"/>
                <w:lang w:val="fr-CA"/>
              </w:rPr>
            </w:pPr>
            <w:r w:rsidRPr="00A92CED">
              <w:rPr>
                <w:lang w:val="fr-CA"/>
              </w:rPr>
              <w:t>Cet amendement proposé vise à harmoniser les exigences énoncées pour tous les types de licences.</w:t>
            </w:r>
          </w:p>
        </w:tc>
        <w:tc>
          <w:tcPr>
            <w:tcW w:w="3087" w:type="dxa"/>
          </w:tcPr>
          <w:p w14:paraId="38E5AE6F" w14:textId="77777777" w:rsidR="003300F2" w:rsidRPr="00A92CED" w:rsidRDefault="003300F2" w:rsidP="00B811AC">
            <w:pPr>
              <w:rPr>
                <w:rFonts w:cstheme="minorHAnsi"/>
                <w:sz w:val="20"/>
                <w:szCs w:val="20"/>
                <w:lang w:val="fr-CA"/>
              </w:rPr>
            </w:pPr>
          </w:p>
        </w:tc>
      </w:tr>
      <w:tr w:rsidR="00A92CED" w:rsidRPr="00A92CED" w14:paraId="1412C906" w14:textId="617613A6" w:rsidTr="00E10233">
        <w:tc>
          <w:tcPr>
            <w:tcW w:w="3126" w:type="dxa"/>
          </w:tcPr>
          <w:p w14:paraId="5438F5DD" w14:textId="77777777" w:rsidR="003300F2" w:rsidRPr="00A92CED" w:rsidRDefault="003300F2" w:rsidP="00B811AC">
            <w:pPr>
              <w:pStyle w:val="ListParagraph"/>
              <w:numPr>
                <w:ilvl w:val="0"/>
                <w:numId w:val="1"/>
              </w:numPr>
              <w:jc w:val="center"/>
              <w:rPr>
                <w:lang w:val="fr-CA"/>
              </w:rPr>
            </w:pPr>
          </w:p>
        </w:tc>
        <w:tc>
          <w:tcPr>
            <w:tcW w:w="3715" w:type="dxa"/>
          </w:tcPr>
          <w:p w14:paraId="283CF90D" w14:textId="56DD3F34" w:rsidR="003300F2" w:rsidRPr="00A92CED" w:rsidRDefault="003300F2" w:rsidP="00B811AC">
            <w:pPr>
              <w:autoSpaceDE w:val="0"/>
              <w:autoSpaceDN w:val="0"/>
              <w:adjustRightInd w:val="0"/>
              <w:rPr>
                <w:rFonts w:ascii="Calibri" w:hAnsi="Calibri" w:cs="Calibri"/>
                <w:b/>
                <w:lang w:val="fr-CA"/>
              </w:rPr>
            </w:pPr>
            <w:r w:rsidRPr="00A92CED">
              <w:rPr>
                <w:rFonts w:ascii="Calibri" w:hAnsi="Calibri" w:cs="Calibri"/>
                <w:b/>
                <w:bCs/>
                <w:lang w:val="fr-CA"/>
              </w:rPr>
              <w:t>148</w:t>
            </w:r>
            <w:r w:rsidRPr="00A92CED">
              <w:rPr>
                <w:rFonts w:ascii="Calibri" w:hAnsi="Calibri" w:cs="Calibri"/>
                <w:lang w:val="fr-CA"/>
              </w:rPr>
              <w:t xml:space="preserve"> La poudrière est construite et entretenue de façon à avoir une bonne ventilation et à être à l’épreuve du vol, des intempéries et des incendies. Si elle sert au stockage d’*explosifs de catégorie de risque EP 1, elle est à l’épreuve des balles, sauf indication contraire dans la licence.</w:t>
            </w:r>
          </w:p>
        </w:tc>
        <w:tc>
          <w:tcPr>
            <w:tcW w:w="4076" w:type="dxa"/>
          </w:tcPr>
          <w:p w14:paraId="462B326D" w14:textId="722F32E7" w:rsidR="003300F2" w:rsidRPr="00A92CED" w:rsidRDefault="003300F2" w:rsidP="00B811AC">
            <w:pPr>
              <w:rPr>
                <w:lang w:val="fr-CA"/>
              </w:rPr>
            </w:pPr>
            <w:r w:rsidRPr="00A92CED">
              <w:rPr>
                <w:bCs/>
                <w:lang w:val="fr-CA"/>
              </w:rPr>
              <w:t xml:space="preserve">Modifier l’article 148 pour supprimer la phrase </w:t>
            </w:r>
            <w:r w:rsidRPr="00A92CED">
              <w:rPr>
                <w:rFonts w:cstheme="minorHAnsi"/>
                <w:bCs/>
                <w:lang w:val="fr-CA"/>
              </w:rPr>
              <w:t>« </w:t>
            </w:r>
            <w:r w:rsidRPr="00A92CED">
              <w:rPr>
                <w:rFonts w:ascii="Calibri" w:hAnsi="Calibri" w:cs="Calibri"/>
                <w:lang w:val="fr-CA"/>
              </w:rPr>
              <w:t>Si elle sert au stockage d’*explosifs de catégorie de risque EP 1, elle est à l’épreuve des balles, sauf indication contraire dans la licence </w:t>
            </w:r>
            <w:r w:rsidRPr="00A92CED">
              <w:rPr>
                <w:rFonts w:ascii="Calibri" w:hAnsi="Calibri" w:cs="Calibri"/>
                <w:bCs/>
                <w:lang w:val="fr-CA"/>
              </w:rPr>
              <w:t>» et ajouter une nouvelle exigence stipulant que chaque poudrière doit être construite et entretenue conformément aux bonnes pratiques techniques et de façon à avoir une bonne ventilation et à être à l’épreuve du vol, des intempéries et des incendies.</w:t>
            </w:r>
          </w:p>
        </w:tc>
        <w:tc>
          <w:tcPr>
            <w:tcW w:w="3143" w:type="dxa"/>
            <w:gridSpan w:val="2"/>
          </w:tcPr>
          <w:p w14:paraId="023A5D1D" w14:textId="6787D97C" w:rsidR="003300F2" w:rsidRPr="00A92CED" w:rsidRDefault="003300F2" w:rsidP="00B811AC">
            <w:pPr>
              <w:rPr>
                <w:rFonts w:cstheme="minorHAnsi"/>
                <w:sz w:val="20"/>
                <w:szCs w:val="20"/>
                <w:lang w:val="fr-CA"/>
              </w:rPr>
            </w:pPr>
            <w:r w:rsidRPr="00A92CED">
              <w:rPr>
                <w:lang w:val="fr-CA"/>
              </w:rPr>
              <w:t>Ces amendements proposés visent à éviter de devoir assortir les licences de conditions précisant les cas où les poudrières ne doivent pas obligatoirement être à l’épreuve des balles, tout en veillant à ce que chaque poudrière soit conforme aux bonnes pratiques techniques en matière de conception, de construction et d’installation.</w:t>
            </w:r>
          </w:p>
        </w:tc>
        <w:tc>
          <w:tcPr>
            <w:tcW w:w="3087" w:type="dxa"/>
          </w:tcPr>
          <w:p w14:paraId="09DCC0D8" w14:textId="77777777" w:rsidR="003300F2" w:rsidRPr="00A92CED" w:rsidRDefault="003300F2" w:rsidP="00B811AC">
            <w:pPr>
              <w:rPr>
                <w:rFonts w:cstheme="minorHAnsi"/>
                <w:sz w:val="20"/>
                <w:szCs w:val="20"/>
                <w:lang w:val="fr-CA"/>
              </w:rPr>
            </w:pPr>
          </w:p>
        </w:tc>
      </w:tr>
      <w:tr w:rsidR="00A92CED" w:rsidRPr="00A92CED" w14:paraId="283AD4DE" w14:textId="74DEC368" w:rsidTr="00E10233">
        <w:tc>
          <w:tcPr>
            <w:tcW w:w="3126" w:type="dxa"/>
          </w:tcPr>
          <w:p w14:paraId="339ADECB" w14:textId="77777777" w:rsidR="003300F2" w:rsidRPr="00A92CED" w:rsidRDefault="003300F2" w:rsidP="00B811AC">
            <w:pPr>
              <w:pStyle w:val="ListParagraph"/>
              <w:numPr>
                <w:ilvl w:val="0"/>
                <w:numId w:val="1"/>
              </w:numPr>
              <w:jc w:val="center"/>
              <w:rPr>
                <w:lang w:val="fr-CA"/>
              </w:rPr>
            </w:pPr>
          </w:p>
        </w:tc>
        <w:tc>
          <w:tcPr>
            <w:tcW w:w="3715" w:type="dxa"/>
          </w:tcPr>
          <w:p w14:paraId="5761D99A" w14:textId="2AA2C944" w:rsidR="003300F2" w:rsidRPr="00A92CED" w:rsidRDefault="003300F2" w:rsidP="00B811AC">
            <w:pPr>
              <w:rPr>
                <w:b/>
                <w:bCs/>
                <w:lang w:val="fr-CA"/>
              </w:rPr>
            </w:pPr>
            <w:r w:rsidRPr="00A92CED">
              <w:rPr>
                <w:b/>
                <w:bCs/>
                <w:lang w:val="fr-CA"/>
              </w:rPr>
              <w:t>NOUVEAU</w:t>
            </w:r>
          </w:p>
        </w:tc>
        <w:tc>
          <w:tcPr>
            <w:tcW w:w="4076" w:type="dxa"/>
          </w:tcPr>
          <w:p w14:paraId="5FE5CA33" w14:textId="0C7EB92C" w:rsidR="003300F2" w:rsidRPr="00A92CED" w:rsidRDefault="003300F2" w:rsidP="00B811AC">
            <w:pPr>
              <w:rPr>
                <w:lang w:val="fr-CA"/>
              </w:rPr>
            </w:pPr>
            <w:r w:rsidRPr="00A92CED">
              <w:rPr>
                <w:bCs/>
                <w:lang w:val="fr-CA"/>
              </w:rPr>
              <w:t>Modifier la partie 6 pour ajouter une nouvelle exigence stipulant que le titulaire d’une licence de poudrière doit apposer sur le périmètre d’un site de poudrière destiné aux explosifs de types D, E et I autant de panneaux interdisant l’accès non autorisé que nécessaire pour qu’un panneau soit bien en vue de toute personne s’approchant du site de poudrière, y compris à chaque entrée du site de poudrière. Chaque panneau doit indiquer les précautions à prendre pour éliminer toute possibilité d’un allumage accidentel et, à moins qu’il puisse nuire à la sécurité en attirant indûment l’attention, chaque panneau doit contenir un avertissement sur les dangers que peuvent poser les explosifs.</w:t>
            </w:r>
          </w:p>
        </w:tc>
        <w:tc>
          <w:tcPr>
            <w:tcW w:w="3143" w:type="dxa"/>
            <w:gridSpan w:val="2"/>
          </w:tcPr>
          <w:p w14:paraId="0D8AFDE4" w14:textId="00393228" w:rsidR="003300F2" w:rsidRPr="00A92CED" w:rsidRDefault="003300F2" w:rsidP="00B811AC">
            <w:pPr>
              <w:rPr>
                <w:lang w:val="fr-CA"/>
              </w:rPr>
            </w:pPr>
            <w:r w:rsidRPr="00A92CED">
              <w:rPr>
                <w:lang w:val="fr-CA"/>
              </w:rPr>
              <w:t>Pour cet amendement proposé, l’intention de la politique est d’inscrire ces exigences de signalisation mises à jour dans le Règlement à titre d’exigences permanentes pour tous les titulaires de licence de poudrière, plutôt que de les inclure dans les conditions de chaque licence. La nouvelle exigence proposée correspond à celle prévue pour des sites similaires agréés en vertu de la section 1 de la partie 5 du Règlement et se fonde sur le libellé de l’article 70.</w:t>
            </w:r>
          </w:p>
        </w:tc>
        <w:tc>
          <w:tcPr>
            <w:tcW w:w="3087" w:type="dxa"/>
          </w:tcPr>
          <w:p w14:paraId="20FB5BAD" w14:textId="77777777" w:rsidR="003300F2" w:rsidRPr="00A92CED" w:rsidRDefault="003300F2" w:rsidP="00B811AC">
            <w:pPr>
              <w:rPr>
                <w:lang w:val="fr-CA"/>
              </w:rPr>
            </w:pPr>
          </w:p>
        </w:tc>
      </w:tr>
      <w:tr w:rsidR="00A92CED" w:rsidRPr="00A92CED" w14:paraId="196A1317" w14:textId="65F8CF17" w:rsidTr="00E10233">
        <w:tc>
          <w:tcPr>
            <w:tcW w:w="3126" w:type="dxa"/>
          </w:tcPr>
          <w:p w14:paraId="2BDB3259" w14:textId="77777777" w:rsidR="003300F2" w:rsidRPr="00A92CED" w:rsidRDefault="003300F2" w:rsidP="00B811AC">
            <w:pPr>
              <w:pStyle w:val="ListParagraph"/>
              <w:numPr>
                <w:ilvl w:val="0"/>
                <w:numId w:val="1"/>
              </w:numPr>
              <w:jc w:val="center"/>
              <w:rPr>
                <w:lang w:val="fr-CA"/>
              </w:rPr>
            </w:pPr>
          </w:p>
        </w:tc>
        <w:tc>
          <w:tcPr>
            <w:tcW w:w="3715" w:type="dxa"/>
          </w:tcPr>
          <w:p w14:paraId="1327500F" w14:textId="68F12E9C" w:rsidR="003300F2" w:rsidRPr="00A92CED" w:rsidRDefault="003300F2" w:rsidP="00B811AC">
            <w:pPr>
              <w:autoSpaceDE w:val="0"/>
              <w:autoSpaceDN w:val="0"/>
              <w:adjustRightInd w:val="0"/>
              <w:rPr>
                <w:rFonts w:ascii="Calibri" w:hAnsi="Calibri" w:cs="Calibri"/>
                <w:b/>
                <w:bCs/>
                <w:lang w:val="fr-CA"/>
              </w:rPr>
            </w:pPr>
            <w:r w:rsidRPr="00A92CED">
              <w:rPr>
                <w:rFonts w:ascii="Calibri" w:hAnsi="Calibri" w:cs="Calibri"/>
                <w:b/>
                <w:bCs/>
                <w:lang w:val="fr-CA"/>
              </w:rPr>
              <w:t xml:space="preserve">154 </w:t>
            </w:r>
            <w:r w:rsidRPr="00A92CED">
              <w:rPr>
                <w:rFonts w:ascii="Calibri" w:hAnsi="Calibri" w:cs="Calibri"/>
                <w:lang w:val="fr-CA"/>
              </w:rPr>
              <w:t>(1)</w:t>
            </w:r>
            <w:r w:rsidRPr="00A92CED">
              <w:rPr>
                <w:rFonts w:ascii="Calibri" w:hAnsi="Calibri" w:cs="Calibri"/>
                <w:b/>
                <w:bCs/>
                <w:lang w:val="fr-CA"/>
              </w:rPr>
              <w:t xml:space="preserve"> </w:t>
            </w:r>
            <w:r w:rsidRPr="00A92CED">
              <w:rPr>
                <w:rFonts w:ascii="Calibri" w:hAnsi="Calibri" w:cs="Calibri"/>
                <w:lang w:val="fr-CA"/>
              </w:rPr>
              <w:t>Une copie du plan de sécurité en cas d’incendie inclus dans la demande est envoyée au service local des incendies et est mise à la disposition des employés.</w:t>
            </w:r>
          </w:p>
        </w:tc>
        <w:tc>
          <w:tcPr>
            <w:tcW w:w="4076" w:type="dxa"/>
          </w:tcPr>
          <w:p w14:paraId="00A407E6" w14:textId="20C24609" w:rsidR="003300F2" w:rsidRPr="00A92CED" w:rsidRDefault="003300F2" w:rsidP="00EA1E4B">
            <w:pPr>
              <w:spacing w:line="259" w:lineRule="auto"/>
              <w:rPr>
                <w:lang w:val="fr-CA"/>
              </w:rPr>
            </w:pPr>
            <w:r w:rsidRPr="00A92CED">
              <w:rPr>
                <w:lang w:val="fr-CA"/>
              </w:rPr>
              <w:t>Modifier le paragraphe 154(1) pour préciser que le titulaire d’une licence de poudrière doit :</w:t>
            </w:r>
          </w:p>
          <w:p w14:paraId="2FCFB1B0" w14:textId="261CE324" w:rsidR="003300F2" w:rsidRPr="00A92CED" w:rsidRDefault="003300F2" w:rsidP="00EA1E4B">
            <w:pPr>
              <w:pStyle w:val="ListParagraph"/>
              <w:numPr>
                <w:ilvl w:val="0"/>
                <w:numId w:val="18"/>
              </w:numPr>
              <w:spacing w:line="259" w:lineRule="auto"/>
              <w:rPr>
                <w:lang w:val="fr-CA"/>
              </w:rPr>
            </w:pPr>
            <w:r w:rsidRPr="00A92CED">
              <w:rPr>
                <w:lang w:val="fr-CA"/>
              </w:rPr>
              <w:t>informer le service des incendies local que des explosifs sont présents sur le site et qu’une copie du plan de sécurité en cas d’incendie est à sa disposition;</w:t>
            </w:r>
          </w:p>
          <w:p w14:paraId="4DE06A14" w14:textId="3ECBFDC6" w:rsidR="003300F2" w:rsidRPr="00A92CED" w:rsidRDefault="003300F2" w:rsidP="00EA1E4B">
            <w:pPr>
              <w:pStyle w:val="ListParagraph"/>
              <w:numPr>
                <w:ilvl w:val="0"/>
                <w:numId w:val="18"/>
              </w:numPr>
              <w:spacing w:line="259" w:lineRule="auto"/>
              <w:rPr>
                <w:lang w:val="fr-CA"/>
              </w:rPr>
            </w:pPr>
            <w:r w:rsidRPr="00A92CED">
              <w:rPr>
                <w:lang w:val="fr-CA"/>
              </w:rPr>
              <w:t>à la demande du service des incendies local, lui faire parvenir une copie du plan de sécurité en cas d’incendie en vigueur;</w:t>
            </w:r>
          </w:p>
          <w:p w14:paraId="4FA17E51" w14:textId="42A86910" w:rsidR="003300F2" w:rsidRPr="00A92CED" w:rsidRDefault="003300F2" w:rsidP="00EA1E4B">
            <w:pPr>
              <w:pStyle w:val="ListParagraph"/>
              <w:numPr>
                <w:ilvl w:val="0"/>
                <w:numId w:val="18"/>
              </w:numPr>
              <w:spacing w:line="259" w:lineRule="auto"/>
              <w:rPr>
                <w:lang w:val="fr-CA"/>
              </w:rPr>
            </w:pPr>
            <w:r w:rsidRPr="00A92CED">
              <w:rPr>
                <w:lang w:val="fr-CA"/>
              </w:rPr>
              <w:t>s’assurer que les employés connaissent le contenu du plan de sécurité en cas d’incendie en vigueur et en mettre une copie à leur disposition.</w:t>
            </w:r>
          </w:p>
          <w:p w14:paraId="66370D1D" w14:textId="2C774916" w:rsidR="003300F2" w:rsidRPr="00A92CED" w:rsidRDefault="003300F2" w:rsidP="00EA1E4B">
            <w:pPr>
              <w:rPr>
                <w:lang w:val="fr-CA"/>
              </w:rPr>
            </w:pPr>
          </w:p>
        </w:tc>
        <w:tc>
          <w:tcPr>
            <w:tcW w:w="3143" w:type="dxa"/>
            <w:gridSpan w:val="2"/>
          </w:tcPr>
          <w:p w14:paraId="68FEFE2E" w14:textId="473F09A0" w:rsidR="003300F2" w:rsidRPr="00A92CED" w:rsidRDefault="003300F2" w:rsidP="00B811AC">
            <w:pPr>
              <w:rPr>
                <w:lang w:val="fr-CA"/>
              </w:rPr>
            </w:pPr>
            <w:r w:rsidRPr="00A92CED">
              <w:rPr>
                <w:lang w:val="fr-CA"/>
              </w:rPr>
              <w:t>Ces amendements proposés appuient l’intention de la politique de clarifier les exigences relatives aux plans de sécurité en cas d’incendie.</w:t>
            </w:r>
          </w:p>
        </w:tc>
        <w:tc>
          <w:tcPr>
            <w:tcW w:w="3087" w:type="dxa"/>
          </w:tcPr>
          <w:p w14:paraId="152D9DFE" w14:textId="77777777" w:rsidR="003300F2" w:rsidRPr="00A92CED" w:rsidRDefault="003300F2" w:rsidP="00B811AC">
            <w:pPr>
              <w:rPr>
                <w:lang w:val="fr-CA"/>
              </w:rPr>
            </w:pPr>
          </w:p>
        </w:tc>
      </w:tr>
      <w:tr w:rsidR="00A92CED" w:rsidRPr="00A92CED" w14:paraId="72C76839" w14:textId="1212DDB0" w:rsidTr="00E10233">
        <w:tc>
          <w:tcPr>
            <w:tcW w:w="3126" w:type="dxa"/>
          </w:tcPr>
          <w:p w14:paraId="10F40C17" w14:textId="77777777" w:rsidR="003300F2" w:rsidRPr="00A92CED" w:rsidRDefault="003300F2" w:rsidP="00B811AC">
            <w:pPr>
              <w:pStyle w:val="ListParagraph"/>
              <w:numPr>
                <w:ilvl w:val="0"/>
                <w:numId w:val="1"/>
              </w:numPr>
              <w:jc w:val="center"/>
              <w:rPr>
                <w:lang w:val="fr-CA"/>
              </w:rPr>
            </w:pPr>
          </w:p>
        </w:tc>
        <w:tc>
          <w:tcPr>
            <w:tcW w:w="3715" w:type="dxa"/>
          </w:tcPr>
          <w:p w14:paraId="7D8091F0" w14:textId="4A902782" w:rsidR="003300F2" w:rsidRPr="00A92CED" w:rsidRDefault="003300F2" w:rsidP="00B811AC">
            <w:pPr>
              <w:autoSpaceDE w:val="0"/>
              <w:autoSpaceDN w:val="0"/>
              <w:adjustRightInd w:val="0"/>
              <w:rPr>
                <w:rFonts w:ascii="Calibri" w:hAnsi="Calibri" w:cs="Calibri"/>
                <w:b/>
                <w:bCs/>
                <w:lang w:val="fr-CA"/>
              </w:rPr>
            </w:pPr>
            <w:r w:rsidRPr="00A92CED">
              <w:rPr>
                <w:rFonts w:ascii="Calibri" w:hAnsi="Calibri" w:cs="Calibri"/>
                <w:b/>
                <w:bCs/>
                <w:lang w:val="fr-CA"/>
              </w:rPr>
              <w:t xml:space="preserve">154 </w:t>
            </w:r>
            <w:r w:rsidRPr="00A92CED">
              <w:rPr>
                <w:rFonts w:ascii="Calibri" w:hAnsi="Calibri" w:cs="Calibri"/>
                <w:lang w:val="fr-CA"/>
              </w:rPr>
              <w:t>(2)</w:t>
            </w:r>
            <w:r w:rsidRPr="00A92CED">
              <w:rPr>
                <w:rFonts w:ascii="Calibri" w:hAnsi="Calibri" w:cs="Calibri"/>
                <w:b/>
                <w:bCs/>
                <w:lang w:val="fr-CA"/>
              </w:rPr>
              <w:t xml:space="preserve"> </w:t>
            </w:r>
            <w:r w:rsidRPr="00A92CED">
              <w:rPr>
                <w:rFonts w:ascii="Calibri" w:hAnsi="Calibri" w:cs="Calibri"/>
                <w:lang w:val="fr-CA"/>
              </w:rPr>
              <w:t>En cas de changement des circonstances qui pourrait avoir un effet néfaste sur la sécurité de la fabrique ou du site satellite, le plan est mis à jour. Une copie à jour du plan est envoyée au service des incendies local dès que possible.</w:t>
            </w:r>
          </w:p>
        </w:tc>
        <w:tc>
          <w:tcPr>
            <w:tcW w:w="4076" w:type="dxa"/>
          </w:tcPr>
          <w:p w14:paraId="486B9E3F" w14:textId="72A28DA3" w:rsidR="003300F2" w:rsidRPr="00A92CED" w:rsidRDefault="003300F2" w:rsidP="00B811AC">
            <w:pPr>
              <w:rPr>
                <w:lang w:val="fr-CA"/>
              </w:rPr>
            </w:pPr>
            <w:r w:rsidRPr="00A92CED">
              <w:rPr>
                <w:lang w:val="fr-CA"/>
              </w:rPr>
              <w:t xml:space="preserve">Modifier la deuxième phrase du paragraphe 154(2) pour supprimer </w:t>
            </w:r>
            <w:r w:rsidRPr="00A92CED">
              <w:rPr>
                <w:rFonts w:cstheme="minorHAnsi"/>
                <w:lang w:val="fr-CA"/>
              </w:rPr>
              <w:t>« </w:t>
            </w:r>
            <w:r w:rsidRPr="00A92CED">
              <w:rPr>
                <w:rFonts w:ascii="Calibri" w:hAnsi="Calibri" w:cs="Calibri"/>
                <w:lang w:val="fr-CA"/>
              </w:rPr>
              <w:t>Une copie à jour du plan est envoyée au service des incendies local dès que possible » et préciser qu’une copie à jour du plan de sécurité en cas d’incendie doit être envoyée dès que possible à toutes les personnes auxquelles les versions précédentes ont été envoyées.</w:t>
            </w:r>
          </w:p>
        </w:tc>
        <w:tc>
          <w:tcPr>
            <w:tcW w:w="3143" w:type="dxa"/>
            <w:gridSpan w:val="2"/>
          </w:tcPr>
          <w:p w14:paraId="63A2ACAE" w14:textId="6F55CE9C" w:rsidR="003300F2" w:rsidRPr="00A92CED" w:rsidRDefault="003300F2" w:rsidP="00B811AC">
            <w:pPr>
              <w:rPr>
                <w:lang w:val="fr-CA"/>
              </w:rPr>
            </w:pPr>
            <w:r w:rsidRPr="00A92CED">
              <w:rPr>
                <w:lang w:val="fr-CA"/>
              </w:rPr>
              <w:t>Ces amendements proposés appuient l’intention de la politique de clarifier les exigences relatives aux plans de sécurité en cas d’incendie.</w:t>
            </w:r>
          </w:p>
        </w:tc>
        <w:tc>
          <w:tcPr>
            <w:tcW w:w="3087" w:type="dxa"/>
          </w:tcPr>
          <w:p w14:paraId="78CF5631" w14:textId="77777777" w:rsidR="003300F2" w:rsidRPr="00A92CED" w:rsidRDefault="003300F2" w:rsidP="00B811AC">
            <w:pPr>
              <w:rPr>
                <w:lang w:val="fr-CA"/>
              </w:rPr>
            </w:pPr>
          </w:p>
        </w:tc>
      </w:tr>
      <w:tr w:rsidR="00A92CED" w:rsidRPr="00A92CED" w14:paraId="679EF790" w14:textId="77777777" w:rsidTr="00E10233">
        <w:tc>
          <w:tcPr>
            <w:tcW w:w="3126" w:type="dxa"/>
          </w:tcPr>
          <w:p w14:paraId="0F3E1087" w14:textId="77777777" w:rsidR="003300F2" w:rsidRPr="00A92CED" w:rsidRDefault="003300F2" w:rsidP="00B811AC">
            <w:pPr>
              <w:pStyle w:val="ListParagraph"/>
              <w:numPr>
                <w:ilvl w:val="0"/>
                <w:numId w:val="1"/>
              </w:numPr>
              <w:jc w:val="center"/>
              <w:rPr>
                <w:lang w:val="fr-CA"/>
              </w:rPr>
            </w:pPr>
          </w:p>
        </w:tc>
        <w:tc>
          <w:tcPr>
            <w:tcW w:w="3715" w:type="dxa"/>
          </w:tcPr>
          <w:p w14:paraId="20511A94" w14:textId="63732978" w:rsidR="003300F2" w:rsidRPr="00A92CED" w:rsidRDefault="003300F2" w:rsidP="00B811AC">
            <w:pPr>
              <w:rPr>
                <w:rFonts w:ascii="Calibri" w:hAnsi="Calibri" w:cs="Calibri"/>
                <w:lang w:val="fr-CA"/>
              </w:rPr>
            </w:pPr>
            <w:r w:rsidRPr="00A92CED">
              <w:rPr>
                <w:rFonts w:ascii="Calibri" w:hAnsi="Calibri" w:cs="Calibri"/>
                <w:b/>
                <w:bCs/>
                <w:lang w:val="fr-CA"/>
              </w:rPr>
              <w:t xml:space="preserve">162 </w:t>
            </w:r>
            <w:r w:rsidRPr="00A92CED">
              <w:rPr>
                <w:rFonts w:ascii="Calibri" w:hAnsi="Calibri" w:cs="Calibri"/>
                <w:lang w:val="fr-CA"/>
              </w:rPr>
              <w:t>(1) Dans les vingt-quatre heures suivant le déplacement du stockage d’explosifs autorisé par sa licence de</w:t>
            </w:r>
            <w:r w:rsidRPr="00A92CED">
              <w:rPr>
                <w:rFonts w:ascii="Calibri" w:hAnsi="Calibri" w:cs="Calibri"/>
                <w:lang w:val="fr-CA"/>
              </w:rPr>
              <w:br/>
              <w:t xml:space="preserve">poudrière (utilisateur-zone), le titulaire </w:t>
            </w:r>
            <w:r w:rsidRPr="00A92CED">
              <w:rPr>
                <w:rFonts w:ascii="Calibri" w:hAnsi="Calibri" w:cs="Calibri"/>
                <w:lang w:val="fr-CA"/>
              </w:rPr>
              <w:lastRenderedPageBreak/>
              <w:t>remplit, signe et fait parvenir au ministre, ainsi qu’au service de police de</w:t>
            </w:r>
            <w:r w:rsidRPr="00A92CED">
              <w:rPr>
                <w:rFonts w:ascii="Calibri" w:hAnsi="Calibri" w:cs="Calibri"/>
                <w:lang w:val="fr-CA"/>
              </w:rPr>
              <w:br/>
              <w:t>la localité du site de stockage et à celui où le nouveau site est situé, le formulaire d’avis de changement de site fourni par le ministère des Ressources naturelles. L’avis est daté et contient les renseignements suivants :</w:t>
            </w:r>
          </w:p>
          <w:p w14:paraId="62755D5B" w14:textId="2AA6649A" w:rsidR="003300F2" w:rsidRPr="00A92CED" w:rsidRDefault="003300F2" w:rsidP="00B811AC">
            <w:pPr>
              <w:ind w:left="720"/>
              <w:rPr>
                <w:rFonts w:ascii="Calibri" w:hAnsi="Calibri" w:cs="Calibri"/>
                <w:lang w:val="fr-CA"/>
              </w:rPr>
            </w:pPr>
            <w:r w:rsidRPr="00A92CED">
              <w:rPr>
                <w:rFonts w:ascii="Calibri" w:hAnsi="Calibri" w:cs="Calibri"/>
                <w:lang w:val="fr-CA"/>
              </w:rPr>
              <w:t>a) les nom, adresse, numéro de téléphone, numéro de téléphone cellulaire, numéro de télécopieur et adresse électronique du titulaire de la licence et ceux d’une personne-ressource;</w:t>
            </w:r>
            <w:r w:rsidRPr="00A92CED">
              <w:rPr>
                <w:rFonts w:ascii="Calibri" w:hAnsi="Calibri" w:cs="Calibri"/>
                <w:lang w:val="fr-CA"/>
              </w:rPr>
              <w:br/>
              <w:t>b) le numéro de la licence, ainsi que sa date d’expiration;</w:t>
            </w:r>
            <w:r w:rsidRPr="00A92CED">
              <w:rPr>
                <w:rFonts w:ascii="Calibri" w:hAnsi="Calibri" w:cs="Calibri"/>
                <w:lang w:val="fr-CA"/>
              </w:rPr>
              <w:br/>
              <w:t>c) les nom, numéro de téléphone et numéro de téléphone cellulaire de la personne responsable du nouveau site;</w:t>
            </w:r>
            <w:r w:rsidRPr="00A92CED">
              <w:rPr>
                <w:rFonts w:ascii="Calibri" w:hAnsi="Calibri" w:cs="Calibri"/>
                <w:lang w:val="fr-CA"/>
              </w:rPr>
              <w:br/>
              <w:t>d) la date à laquelle le stockage des explosifs a débuté au nouveau site;</w:t>
            </w:r>
            <w:r w:rsidRPr="00A92CED">
              <w:rPr>
                <w:rFonts w:ascii="Calibri" w:hAnsi="Calibri" w:cs="Calibri"/>
                <w:lang w:val="fr-CA"/>
              </w:rPr>
              <w:br/>
              <w:t>e) les coordonnées géographiques de l’ancien site et</w:t>
            </w:r>
            <w:r w:rsidRPr="00A92CED">
              <w:rPr>
                <w:rFonts w:ascii="Calibri" w:hAnsi="Calibri" w:cs="Calibri"/>
                <w:lang w:val="fr-CA"/>
              </w:rPr>
              <w:br/>
              <w:t>du nouveau site;</w:t>
            </w:r>
            <w:r w:rsidRPr="00A92CED">
              <w:rPr>
                <w:rFonts w:ascii="Calibri" w:hAnsi="Calibri" w:cs="Calibri"/>
                <w:lang w:val="fr-CA"/>
              </w:rPr>
              <w:br/>
              <w:t xml:space="preserve">f) les instructions routières sur la façon de se rendre au </w:t>
            </w:r>
            <w:r w:rsidRPr="00A92CED">
              <w:rPr>
                <w:rFonts w:ascii="Calibri" w:hAnsi="Calibri" w:cs="Calibri"/>
                <w:lang w:val="fr-CA"/>
              </w:rPr>
              <w:lastRenderedPageBreak/>
              <w:t>nouveau site;</w:t>
            </w:r>
            <w:r w:rsidRPr="00A92CED">
              <w:rPr>
                <w:rFonts w:ascii="Calibri" w:hAnsi="Calibri" w:cs="Calibri"/>
                <w:lang w:val="fr-CA"/>
              </w:rPr>
              <w:br/>
              <w:t>g) les dispositifs de sécurité et de sûreté sur le nouveau site (par exemple, panneaux, systèmes d’alarme, barrières, clôtures et merlons);</w:t>
            </w:r>
            <w:r w:rsidRPr="00A92CED">
              <w:rPr>
                <w:rFonts w:ascii="Calibri" w:hAnsi="Calibri" w:cs="Calibri"/>
                <w:lang w:val="fr-CA"/>
              </w:rPr>
              <w:br/>
              <w:t>h) une liste des poudrières qui seront utilisées sur le</w:t>
            </w:r>
            <w:r w:rsidRPr="00A92CED">
              <w:rPr>
                <w:rFonts w:ascii="Calibri" w:hAnsi="Calibri" w:cs="Calibri"/>
                <w:lang w:val="fr-CA"/>
              </w:rPr>
              <w:br/>
              <w:t>nouveau site et les renseignements suivants :</w:t>
            </w:r>
          </w:p>
          <w:p w14:paraId="4B8B51BC" w14:textId="75BA865D" w:rsidR="003300F2" w:rsidRPr="00A92CED" w:rsidRDefault="003300F2" w:rsidP="00B811AC">
            <w:pPr>
              <w:ind w:left="1440"/>
              <w:rPr>
                <w:rFonts w:ascii="Calibri" w:hAnsi="Calibri" w:cs="Calibri"/>
                <w:lang w:val="fr-CA"/>
              </w:rPr>
            </w:pPr>
            <w:r w:rsidRPr="00A92CED">
              <w:rPr>
                <w:rFonts w:ascii="Calibri" w:hAnsi="Calibri" w:cs="Calibri"/>
                <w:lang w:val="fr-CA"/>
              </w:rPr>
              <w:t>(i) dans le cas où une poudrière a été déplacée, son numéro, sa lettre ou son nom distinctif tel qu’il est</w:t>
            </w:r>
            <w:r w:rsidRPr="00A92CED">
              <w:rPr>
                <w:rFonts w:ascii="Calibri" w:hAnsi="Calibri" w:cs="Calibri"/>
                <w:lang w:val="fr-CA"/>
              </w:rPr>
              <w:br/>
              <w:t>indiqué sur le plan de l’ancien site,</w:t>
            </w:r>
            <w:r w:rsidRPr="00A92CED">
              <w:rPr>
                <w:rFonts w:ascii="Calibri" w:hAnsi="Calibri" w:cs="Calibri"/>
                <w:lang w:val="fr-CA"/>
              </w:rPr>
              <w:br/>
              <w:t>(ii) son numéro de plaque, le cas échéant,</w:t>
            </w:r>
            <w:r w:rsidRPr="00A92CED">
              <w:rPr>
                <w:rFonts w:ascii="Calibri" w:hAnsi="Calibri" w:cs="Calibri"/>
                <w:lang w:val="fr-CA"/>
              </w:rPr>
              <w:br/>
              <w:t xml:space="preserve">(iii) le numéro du type de poudrière auquel elle appartient, comme l’indique la norme nationale du Canada CAN/BNQ 2910–500/2015 intitulée </w:t>
            </w:r>
            <w:r w:rsidRPr="00A92CED">
              <w:rPr>
                <w:rFonts w:ascii="Calibri" w:hAnsi="Calibri" w:cs="Calibri"/>
                <w:i/>
                <w:iCs/>
                <w:lang w:val="fr-CA"/>
              </w:rPr>
              <w:t>Explosifs — Dépôts d’explosifs industriels</w:t>
            </w:r>
            <w:r w:rsidRPr="00A92CED">
              <w:rPr>
                <w:rFonts w:ascii="Calibri" w:hAnsi="Calibri" w:cs="Calibri"/>
                <w:lang w:val="fr-CA"/>
              </w:rPr>
              <w:t>, avec ses modifications successives,</w:t>
            </w:r>
            <w:r w:rsidRPr="00A92CED">
              <w:rPr>
                <w:rFonts w:ascii="Calibri" w:hAnsi="Calibri" w:cs="Calibri"/>
                <w:lang w:val="fr-CA"/>
              </w:rPr>
              <w:br/>
              <w:t xml:space="preserve">(iv) la quantité de chaque type </w:t>
            </w:r>
            <w:r w:rsidRPr="00A92CED">
              <w:rPr>
                <w:rFonts w:ascii="Calibri" w:hAnsi="Calibri" w:cs="Calibri"/>
                <w:lang w:val="fr-CA"/>
              </w:rPr>
              <w:lastRenderedPageBreak/>
              <w:t>d’*explosif qui y sera stocké.</w:t>
            </w:r>
          </w:p>
          <w:p w14:paraId="3ACB85CB" w14:textId="77777777" w:rsidR="003300F2" w:rsidRPr="00A92CED" w:rsidRDefault="003300F2" w:rsidP="00B811AC">
            <w:pPr>
              <w:ind w:left="1440"/>
              <w:rPr>
                <w:rFonts w:ascii="Calibri" w:hAnsi="Calibri" w:cs="Calibri"/>
                <w:lang w:val="fr-CA"/>
              </w:rPr>
            </w:pPr>
          </w:p>
          <w:p w14:paraId="6C5F2A38" w14:textId="111ECCF0" w:rsidR="003300F2" w:rsidRPr="00A92CED" w:rsidRDefault="003300F2" w:rsidP="00B811AC">
            <w:pPr>
              <w:rPr>
                <w:rFonts w:ascii="Calibri" w:hAnsi="Calibri" w:cs="Calibri"/>
                <w:lang w:val="fr-CA"/>
              </w:rPr>
            </w:pPr>
            <w:r w:rsidRPr="00A92CED">
              <w:rPr>
                <w:rFonts w:ascii="Calibri" w:hAnsi="Calibri" w:cs="Calibri"/>
                <w:lang w:val="fr-CA"/>
              </w:rPr>
              <w:t>(2) L’avis contient un plan de site qui indique :</w:t>
            </w:r>
          </w:p>
          <w:p w14:paraId="5B0CCF3A" w14:textId="6F582DE7" w:rsidR="003300F2" w:rsidRPr="00A92CED" w:rsidRDefault="003300F2" w:rsidP="00B811AC">
            <w:pPr>
              <w:autoSpaceDE w:val="0"/>
              <w:autoSpaceDN w:val="0"/>
              <w:adjustRightInd w:val="0"/>
              <w:ind w:left="720"/>
              <w:rPr>
                <w:rFonts w:ascii="Calibri" w:hAnsi="Calibri" w:cs="Calibri"/>
                <w:b/>
                <w:bCs/>
                <w:lang w:val="fr-CA"/>
              </w:rPr>
            </w:pPr>
            <w:r w:rsidRPr="00A92CED">
              <w:rPr>
                <w:rFonts w:ascii="Calibri" w:hAnsi="Calibri" w:cs="Calibri"/>
                <w:lang w:val="fr-CA"/>
              </w:rPr>
              <w:t>a) l’emplacement de chaque poudrière et de chaque *lieu vulnérable sur le site, ainsi que celui de chaque lieu vulnérable à l’extérieur du site qui est exposé aux dangers (par exemple, débris ou effet de souffle) qui pourraient résulter de l’allumage des explosifs qui seront stockés sur le site;</w:t>
            </w:r>
            <w:r w:rsidRPr="00A92CED">
              <w:rPr>
                <w:rFonts w:ascii="Calibri" w:hAnsi="Calibri" w:cs="Calibri"/>
                <w:lang w:val="fr-CA"/>
              </w:rPr>
              <w:br/>
              <w:t>b) la distance, en mètres, entre chaque poudrière sur le site, entre chaque poudrière sur le site et chaque lieu vulnérable sur le site, ainsi qu’entre chaque poudrière sur le site et chaque lieu vulnérable à l’extérieur du site qui est exposé aux dangers (par exemple, débris ou effet de souffle) qui pourraient résulter de l’allumage des explosifs qui seront stockés sur le site;</w:t>
            </w:r>
            <w:r w:rsidRPr="00A92CED">
              <w:rPr>
                <w:rFonts w:ascii="Calibri" w:hAnsi="Calibri" w:cs="Calibri"/>
                <w:lang w:val="fr-CA"/>
              </w:rPr>
              <w:br/>
              <w:t xml:space="preserve">c) la distance minimale, en mètres, qui doit être maintenue entre chaque poudrière sur le site et chaque </w:t>
            </w:r>
            <w:r w:rsidRPr="00A92CED">
              <w:rPr>
                <w:rFonts w:ascii="Calibri" w:hAnsi="Calibri" w:cs="Calibri"/>
                <w:lang w:val="fr-CA"/>
              </w:rPr>
              <w:lastRenderedPageBreak/>
              <w:t>lieu vulnérable indiqué sur le plan du site,</w:t>
            </w:r>
            <w:r w:rsidRPr="00A92CED">
              <w:rPr>
                <w:rFonts w:ascii="Calibri" w:hAnsi="Calibri" w:cs="Calibri"/>
                <w:lang w:val="fr-CA"/>
              </w:rPr>
              <w:br/>
              <w:t xml:space="preserve">comme l’indique la norme nationale du Canada CAN/BNQ 2910–510/2015 intitulée </w:t>
            </w:r>
            <w:r w:rsidRPr="00A92CED">
              <w:rPr>
                <w:rFonts w:ascii="Calibri" w:hAnsi="Calibri" w:cs="Calibri"/>
                <w:i/>
                <w:iCs/>
                <w:lang w:val="fr-CA"/>
              </w:rPr>
              <w:t>Explosifs — Distances par rapport à la quantité d’explosifs</w:t>
            </w:r>
            <w:r w:rsidRPr="00A92CED">
              <w:rPr>
                <w:rFonts w:ascii="Calibri" w:hAnsi="Calibri" w:cs="Calibri"/>
                <w:lang w:val="fr-CA"/>
              </w:rPr>
              <w:t>, avec ses</w:t>
            </w:r>
            <w:r w:rsidRPr="00A92CED">
              <w:rPr>
                <w:rFonts w:ascii="Calibri" w:hAnsi="Calibri" w:cs="Calibri"/>
                <w:lang w:val="fr-CA"/>
              </w:rPr>
              <w:br/>
              <w:t>modifications successives.</w:t>
            </w:r>
          </w:p>
        </w:tc>
        <w:tc>
          <w:tcPr>
            <w:tcW w:w="4076" w:type="dxa"/>
          </w:tcPr>
          <w:p w14:paraId="1576C927" w14:textId="20A8C717" w:rsidR="003300F2" w:rsidRPr="00A92CED" w:rsidRDefault="003300F2" w:rsidP="00B811AC">
            <w:pPr>
              <w:rPr>
                <w:lang w:val="fr-CA"/>
              </w:rPr>
            </w:pPr>
            <w:r w:rsidRPr="00A92CED">
              <w:rPr>
                <w:rFonts w:ascii="Calibri" w:hAnsi="Calibri" w:cs="Calibri"/>
                <w:lang w:val="fr-CA"/>
              </w:rPr>
              <w:lastRenderedPageBreak/>
              <w:t>Modifier la partie 6 pour supprimer l’article 162.</w:t>
            </w:r>
          </w:p>
        </w:tc>
        <w:tc>
          <w:tcPr>
            <w:tcW w:w="3143" w:type="dxa"/>
            <w:gridSpan w:val="2"/>
          </w:tcPr>
          <w:p w14:paraId="090F91EC" w14:textId="0EC383DF" w:rsidR="003300F2" w:rsidRPr="00A92CED" w:rsidRDefault="003300F2" w:rsidP="00B811AC">
            <w:pPr>
              <w:rPr>
                <w:lang w:val="fr-CA"/>
              </w:rPr>
            </w:pPr>
            <w:r w:rsidRPr="00A92CED">
              <w:rPr>
                <w:lang w:val="fr-CA"/>
              </w:rPr>
              <w:t xml:space="preserve">Cet amendement proposé appuie l’intention de la politique de clarifier et de moderniser le Règlement en éliminant les </w:t>
            </w:r>
            <w:r w:rsidRPr="00A92CED">
              <w:rPr>
                <w:lang w:val="fr-CA"/>
              </w:rPr>
              <w:lastRenderedPageBreak/>
              <w:t>redondances et en harmonisant les exigences énoncées pour tous les types de licences.</w:t>
            </w:r>
          </w:p>
        </w:tc>
        <w:tc>
          <w:tcPr>
            <w:tcW w:w="3087" w:type="dxa"/>
          </w:tcPr>
          <w:p w14:paraId="355DB96A" w14:textId="77777777" w:rsidR="003300F2" w:rsidRPr="00A92CED" w:rsidRDefault="003300F2" w:rsidP="00B811AC">
            <w:pPr>
              <w:rPr>
                <w:lang w:val="fr-CA"/>
              </w:rPr>
            </w:pPr>
          </w:p>
        </w:tc>
      </w:tr>
      <w:tr w:rsidR="00A92CED" w:rsidRPr="00A92CED" w14:paraId="64E88DB8" w14:textId="77777777" w:rsidTr="00E10233">
        <w:tc>
          <w:tcPr>
            <w:tcW w:w="3126" w:type="dxa"/>
          </w:tcPr>
          <w:p w14:paraId="56782279" w14:textId="77777777" w:rsidR="003300F2" w:rsidRPr="00A92CED" w:rsidRDefault="003300F2" w:rsidP="00B811AC">
            <w:pPr>
              <w:pStyle w:val="ListParagraph"/>
              <w:numPr>
                <w:ilvl w:val="0"/>
                <w:numId w:val="1"/>
              </w:numPr>
              <w:jc w:val="center"/>
              <w:rPr>
                <w:lang w:val="fr-CA"/>
              </w:rPr>
            </w:pPr>
          </w:p>
        </w:tc>
        <w:tc>
          <w:tcPr>
            <w:tcW w:w="3715" w:type="dxa"/>
          </w:tcPr>
          <w:p w14:paraId="59CF5C63" w14:textId="0CDBABD0" w:rsidR="003300F2" w:rsidRPr="00A92CED" w:rsidRDefault="003300F2" w:rsidP="00B811AC">
            <w:pPr>
              <w:autoSpaceDE w:val="0"/>
              <w:autoSpaceDN w:val="0"/>
              <w:adjustRightInd w:val="0"/>
              <w:rPr>
                <w:rFonts w:ascii="Calibri" w:hAnsi="Calibri" w:cs="Calibri"/>
                <w:b/>
                <w:bCs/>
                <w:lang w:val="fr-CA"/>
              </w:rPr>
            </w:pPr>
            <w:r w:rsidRPr="00A92CED">
              <w:rPr>
                <w:rFonts w:ascii="Calibri" w:hAnsi="Calibri" w:cs="Calibri"/>
                <w:b/>
                <w:bCs/>
                <w:lang w:val="fr-CA"/>
              </w:rPr>
              <w:t xml:space="preserve">163 </w:t>
            </w:r>
            <w:r w:rsidRPr="00A92CED">
              <w:rPr>
                <w:rFonts w:ascii="Calibri" w:hAnsi="Calibri" w:cs="Calibri"/>
                <w:lang w:val="fr-CA"/>
              </w:rPr>
              <w:t>Le titulaire d’une licence de poudrière (utilisateur-zone) veille à ce qu’une copie de la licence et une copie de l’avis de changement de site soient affichées dans chaque poudrière.</w:t>
            </w:r>
          </w:p>
        </w:tc>
        <w:tc>
          <w:tcPr>
            <w:tcW w:w="4076" w:type="dxa"/>
          </w:tcPr>
          <w:p w14:paraId="03183968" w14:textId="563E2969" w:rsidR="003300F2" w:rsidRPr="00A92CED" w:rsidRDefault="003300F2" w:rsidP="00B811AC">
            <w:pPr>
              <w:rPr>
                <w:lang w:val="fr-CA"/>
              </w:rPr>
            </w:pPr>
            <w:r w:rsidRPr="00A92CED">
              <w:rPr>
                <w:lang w:val="fr-CA"/>
              </w:rPr>
              <w:t>Modifier la partie 6 pour supprimer l’article 163.</w:t>
            </w:r>
          </w:p>
        </w:tc>
        <w:tc>
          <w:tcPr>
            <w:tcW w:w="3143" w:type="dxa"/>
            <w:gridSpan w:val="2"/>
          </w:tcPr>
          <w:p w14:paraId="535EEC6C" w14:textId="64EE2568" w:rsidR="003300F2" w:rsidRPr="00A92CED" w:rsidRDefault="003300F2" w:rsidP="00B811AC">
            <w:pPr>
              <w:rPr>
                <w:lang w:val="fr-CA"/>
              </w:rPr>
            </w:pPr>
            <w:r w:rsidRPr="00A92CED">
              <w:rPr>
                <w:lang w:val="fr-CA"/>
              </w:rPr>
              <w:t>Cet amendement proposé appuie l’intention de la politique de clarifier et de moderniser le Règlement en éliminant les redondances et en harmonisant les exigences énoncées pour tous les types de licences.</w:t>
            </w:r>
          </w:p>
        </w:tc>
        <w:tc>
          <w:tcPr>
            <w:tcW w:w="3087" w:type="dxa"/>
          </w:tcPr>
          <w:p w14:paraId="7BA0DA6D" w14:textId="77777777" w:rsidR="003300F2" w:rsidRPr="00A92CED" w:rsidRDefault="003300F2" w:rsidP="00B811AC">
            <w:pPr>
              <w:rPr>
                <w:lang w:val="fr-CA"/>
              </w:rPr>
            </w:pPr>
          </w:p>
        </w:tc>
      </w:tr>
      <w:tr w:rsidR="00A92CED" w:rsidRPr="00A92CED" w14:paraId="2D86981A" w14:textId="77777777" w:rsidTr="00E10233">
        <w:tc>
          <w:tcPr>
            <w:tcW w:w="3126" w:type="dxa"/>
          </w:tcPr>
          <w:p w14:paraId="0B6DAE18" w14:textId="77777777" w:rsidR="003300F2" w:rsidRPr="00A92CED" w:rsidRDefault="003300F2" w:rsidP="00B811AC">
            <w:pPr>
              <w:pStyle w:val="ListParagraph"/>
              <w:numPr>
                <w:ilvl w:val="0"/>
                <w:numId w:val="1"/>
              </w:numPr>
              <w:jc w:val="center"/>
              <w:rPr>
                <w:lang w:val="fr-CA"/>
              </w:rPr>
            </w:pPr>
          </w:p>
        </w:tc>
        <w:tc>
          <w:tcPr>
            <w:tcW w:w="3715" w:type="dxa"/>
          </w:tcPr>
          <w:p w14:paraId="09BC9707" w14:textId="23AAA3B9" w:rsidR="003300F2" w:rsidRPr="00A92CED" w:rsidRDefault="003300F2" w:rsidP="00B811AC">
            <w:pPr>
              <w:autoSpaceDE w:val="0"/>
              <w:autoSpaceDN w:val="0"/>
              <w:adjustRightInd w:val="0"/>
              <w:rPr>
                <w:rFonts w:ascii="Calibri" w:hAnsi="Calibri" w:cs="Calibri"/>
                <w:b/>
                <w:bCs/>
                <w:lang w:val="fr-CA"/>
              </w:rPr>
            </w:pPr>
            <w:r w:rsidRPr="00A92CED">
              <w:rPr>
                <w:rFonts w:ascii="Calibri" w:hAnsi="Calibri" w:cs="Calibri"/>
                <w:b/>
                <w:bCs/>
                <w:lang w:val="fr-CA"/>
              </w:rPr>
              <w:t>NOUVEAU</w:t>
            </w:r>
          </w:p>
        </w:tc>
        <w:tc>
          <w:tcPr>
            <w:tcW w:w="4076" w:type="dxa"/>
          </w:tcPr>
          <w:p w14:paraId="48E40F73" w14:textId="362B7E7F" w:rsidR="003300F2" w:rsidRPr="00A92CED" w:rsidRDefault="003300F2" w:rsidP="00496724">
            <w:pPr>
              <w:rPr>
                <w:lang w:val="fr-CA"/>
              </w:rPr>
            </w:pPr>
            <w:r w:rsidRPr="00A92CED">
              <w:rPr>
                <w:lang w:val="fr-CA"/>
              </w:rPr>
              <w:t xml:space="preserve">Modifier la partie 6 pour ajouter les nouvelles exigences ci-après stipulant que le titulaire d’une licence partagée :   </w:t>
            </w:r>
          </w:p>
          <w:p w14:paraId="70317CDA" w14:textId="6F367A07" w:rsidR="003300F2" w:rsidRPr="00A92CED" w:rsidRDefault="003300F2" w:rsidP="00496724">
            <w:pPr>
              <w:pStyle w:val="ListParagraph"/>
              <w:numPr>
                <w:ilvl w:val="0"/>
                <w:numId w:val="20"/>
              </w:numPr>
              <w:rPr>
                <w:bCs/>
                <w:lang w:val="fr-CA"/>
              </w:rPr>
            </w:pPr>
            <w:r w:rsidRPr="00A92CED">
              <w:rPr>
                <w:bCs/>
                <w:lang w:val="fr-CA"/>
              </w:rPr>
              <w:t>doit maintenir, avec le titulaire de la licence principale décrite dans la licence partagée, un accord écrit autorisant le titulaire de la licence partagée</w:t>
            </w:r>
            <w:r w:rsidR="00E608AA" w:rsidRPr="00A92CED">
              <w:rPr>
                <w:bCs/>
                <w:lang w:val="fr-CA"/>
              </w:rPr>
              <w:t xml:space="preserve"> </w:t>
            </w:r>
            <w:r w:rsidR="00E608AA" w:rsidRPr="00A92CED">
              <w:rPr>
                <w:bCs/>
                <w:lang w:val="fr-CA"/>
              </w:rPr>
              <w:t>signé</w:t>
            </w:r>
            <w:r w:rsidR="00E608AA" w:rsidRPr="00A92CED">
              <w:rPr>
                <w:bCs/>
                <w:lang w:val="fr-CA"/>
              </w:rPr>
              <w:t>e</w:t>
            </w:r>
            <w:r w:rsidR="00E608AA" w:rsidRPr="00A92CED">
              <w:rPr>
                <w:bCs/>
                <w:lang w:val="fr-CA"/>
              </w:rPr>
              <w:t xml:space="preserve"> par les deux parties</w:t>
            </w:r>
            <w:r w:rsidRPr="00A92CED">
              <w:rPr>
                <w:bCs/>
                <w:lang w:val="fr-CA"/>
              </w:rPr>
              <w:t xml:space="preserve"> à stocker des explosifs dans les poudrières décrites dans la licence partagée;</w:t>
            </w:r>
          </w:p>
          <w:p w14:paraId="22FAA5E3" w14:textId="43756D53" w:rsidR="003300F2" w:rsidRPr="00A92CED" w:rsidRDefault="003300F2" w:rsidP="00496724">
            <w:pPr>
              <w:pStyle w:val="ListParagraph"/>
              <w:numPr>
                <w:ilvl w:val="0"/>
                <w:numId w:val="20"/>
              </w:numPr>
              <w:rPr>
                <w:lang w:val="fr-CA"/>
              </w:rPr>
            </w:pPr>
            <w:r w:rsidRPr="00A92CED">
              <w:rPr>
                <w:bCs/>
                <w:lang w:val="fr-CA"/>
              </w:rPr>
              <w:t>ne peut accéder à une poudrière décrite dans la licence partagée qu’en présence d’un représentant autorisé du titulaire de la licence principale.</w:t>
            </w:r>
          </w:p>
        </w:tc>
        <w:tc>
          <w:tcPr>
            <w:tcW w:w="3143" w:type="dxa"/>
            <w:gridSpan w:val="2"/>
          </w:tcPr>
          <w:p w14:paraId="04BAADBD" w14:textId="38E97875" w:rsidR="003300F2" w:rsidRPr="00A92CED" w:rsidRDefault="003300F2" w:rsidP="00B811AC">
            <w:pPr>
              <w:rPr>
                <w:lang w:val="fr-CA"/>
              </w:rPr>
            </w:pPr>
            <w:r w:rsidRPr="00A92CED">
              <w:rPr>
                <w:lang w:val="fr-CA"/>
              </w:rPr>
              <w:t xml:space="preserve">Cet amendement proposé appuie l’amendement qu’il est proposé d’apporter à l’article 144, au point 49 du présent document de consultation, pour créer une nouvelle définition de </w:t>
            </w:r>
            <w:r w:rsidRPr="00A92CED">
              <w:rPr>
                <w:rFonts w:cstheme="minorHAnsi"/>
                <w:lang w:val="fr-CA"/>
              </w:rPr>
              <w:t>« licence partagée </w:t>
            </w:r>
            <w:r w:rsidRPr="00A92CED">
              <w:rPr>
                <w:rFonts w:ascii="Calibri" w:hAnsi="Calibri" w:cs="Calibri"/>
                <w:lang w:val="fr-CA"/>
              </w:rPr>
              <w:t>» en énumérant les exigences spécifiques qui s’appliquent au titulaire d’une licence partagée.</w:t>
            </w:r>
          </w:p>
        </w:tc>
        <w:tc>
          <w:tcPr>
            <w:tcW w:w="3087" w:type="dxa"/>
          </w:tcPr>
          <w:p w14:paraId="08A7EEF3" w14:textId="77777777" w:rsidR="003300F2" w:rsidRPr="00A92CED" w:rsidRDefault="003300F2" w:rsidP="00B811AC">
            <w:pPr>
              <w:rPr>
                <w:lang w:val="fr-CA"/>
              </w:rPr>
            </w:pPr>
          </w:p>
        </w:tc>
      </w:tr>
      <w:tr w:rsidR="00A92CED" w:rsidRPr="00A92CED" w14:paraId="4C726415" w14:textId="77777777" w:rsidTr="00E10233">
        <w:tc>
          <w:tcPr>
            <w:tcW w:w="3126" w:type="dxa"/>
          </w:tcPr>
          <w:p w14:paraId="485B78A8" w14:textId="77777777" w:rsidR="003300F2" w:rsidRPr="00A92CED" w:rsidRDefault="003300F2" w:rsidP="00B811AC">
            <w:pPr>
              <w:pStyle w:val="ListParagraph"/>
              <w:numPr>
                <w:ilvl w:val="0"/>
                <w:numId w:val="1"/>
              </w:numPr>
              <w:jc w:val="center"/>
              <w:rPr>
                <w:lang w:val="fr-CA"/>
              </w:rPr>
            </w:pPr>
          </w:p>
        </w:tc>
        <w:tc>
          <w:tcPr>
            <w:tcW w:w="3715" w:type="dxa"/>
          </w:tcPr>
          <w:p w14:paraId="783091C2" w14:textId="69CE78C8" w:rsidR="003300F2" w:rsidRPr="00A92CED" w:rsidRDefault="003300F2" w:rsidP="00B811AC">
            <w:pPr>
              <w:autoSpaceDE w:val="0"/>
              <w:autoSpaceDN w:val="0"/>
              <w:adjustRightInd w:val="0"/>
              <w:rPr>
                <w:rFonts w:ascii="Calibri" w:hAnsi="Calibri" w:cs="Calibri"/>
                <w:b/>
                <w:bCs/>
                <w:lang w:val="fr-CA"/>
              </w:rPr>
            </w:pPr>
            <w:r w:rsidRPr="00A92CED">
              <w:rPr>
                <w:rFonts w:ascii="Calibri" w:hAnsi="Calibri" w:cs="Calibri"/>
                <w:b/>
                <w:bCs/>
                <w:lang w:val="fr-CA"/>
              </w:rPr>
              <w:t>NOUVEAU</w:t>
            </w:r>
          </w:p>
        </w:tc>
        <w:tc>
          <w:tcPr>
            <w:tcW w:w="4076" w:type="dxa"/>
          </w:tcPr>
          <w:p w14:paraId="2FD39CE9" w14:textId="1E9B971F" w:rsidR="003300F2" w:rsidRPr="00A92CED" w:rsidRDefault="003300F2" w:rsidP="00496724">
            <w:pPr>
              <w:rPr>
                <w:bCs/>
                <w:lang w:val="fr-CA"/>
              </w:rPr>
            </w:pPr>
            <w:r w:rsidRPr="00A92CED">
              <w:rPr>
                <w:lang w:val="fr-CA"/>
              </w:rPr>
              <w:t>Modifier la partie 6 pour ajouter les nouvelles exigences ci-après stipulant que le titulaire de la licence principale, en plus des exigences s’appliquant à sa licence de fabrique, à sa licence de poudrière (vendeur) ou à sa licence de poudrière (utilisateur) :</w:t>
            </w:r>
            <w:r w:rsidRPr="00A92CED">
              <w:rPr>
                <w:bCs/>
                <w:lang w:val="fr-CA"/>
              </w:rPr>
              <w:t xml:space="preserve"> </w:t>
            </w:r>
          </w:p>
          <w:p w14:paraId="64376C36" w14:textId="43F37E06" w:rsidR="003300F2" w:rsidRPr="00A92CED" w:rsidRDefault="003300F2" w:rsidP="00496724">
            <w:pPr>
              <w:pStyle w:val="ListParagraph"/>
              <w:numPr>
                <w:ilvl w:val="0"/>
                <w:numId w:val="20"/>
              </w:numPr>
              <w:rPr>
                <w:bCs/>
                <w:lang w:val="fr-CA"/>
              </w:rPr>
            </w:pPr>
            <w:r w:rsidRPr="00A92CED">
              <w:rPr>
                <w:bCs/>
                <w:lang w:val="fr-CA"/>
              </w:rPr>
              <w:t>doit maintenir, avec le titulaire de la licence partagée, un accord écrit autorisant le titulaire de la licence partagée</w:t>
            </w:r>
            <w:r w:rsidR="00E608AA" w:rsidRPr="00A92CED">
              <w:rPr>
                <w:bCs/>
                <w:lang w:val="fr-CA"/>
              </w:rPr>
              <w:t xml:space="preserve"> </w:t>
            </w:r>
            <w:r w:rsidR="00E608AA" w:rsidRPr="00A92CED">
              <w:rPr>
                <w:bCs/>
                <w:lang w:val="fr-CA"/>
              </w:rPr>
              <w:t>signé</w:t>
            </w:r>
            <w:r w:rsidR="00E608AA" w:rsidRPr="00A92CED">
              <w:rPr>
                <w:bCs/>
                <w:lang w:val="fr-CA"/>
              </w:rPr>
              <w:t>e</w:t>
            </w:r>
            <w:r w:rsidR="00E608AA" w:rsidRPr="00A92CED">
              <w:rPr>
                <w:bCs/>
                <w:lang w:val="fr-CA"/>
              </w:rPr>
              <w:t xml:space="preserve"> par les deux parties</w:t>
            </w:r>
            <w:r w:rsidRPr="00A92CED">
              <w:rPr>
                <w:bCs/>
                <w:lang w:val="fr-CA"/>
              </w:rPr>
              <w:t xml:space="preserve"> à stocker des explosifs dans les poudrières décrites dans la licence partagée;</w:t>
            </w:r>
          </w:p>
          <w:p w14:paraId="7A54B051" w14:textId="2290B9C7" w:rsidR="003300F2" w:rsidRPr="00A92CED" w:rsidRDefault="003300F2" w:rsidP="00496724">
            <w:pPr>
              <w:pStyle w:val="ListParagraph"/>
              <w:numPr>
                <w:ilvl w:val="0"/>
                <w:numId w:val="20"/>
              </w:numPr>
              <w:rPr>
                <w:lang w:val="fr-CA"/>
              </w:rPr>
            </w:pPr>
            <w:r w:rsidRPr="00A92CED">
              <w:rPr>
                <w:bCs/>
                <w:lang w:val="fr-CA"/>
              </w:rPr>
              <w:t>ne peut autoriser le titulaire de la licence partagée à accéder aux poudrières décrites dans la licence partagée qu’en présence d’un représentant autorisé du titulaire de la licence principale.</w:t>
            </w:r>
          </w:p>
        </w:tc>
        <w:tc>
          <w:tcPr>
            <w:tcW w:w="3143" w:type="dxa"/>
            <w:gridSpan w:val="2"/>
          </w:tcPr>
          <w:p w14:paraId="1DFD028C" w14:textId="7953A6E9" w:rsidR="003300F2" w:rsidRPr="00A92CED" w:rsidRDefault="003300F2" w:rsidP="00B811AC">
            <w:pPr>
              <w:rPr>
                <w:lang w:val="fr-CA"/>
              </w:rPr>
            </w:pPr>
            <w:r w:rsidRPr="00A92CED">
              <w:rPr>
                <w:lang w:val="fr-CA"/>
              </w:rPr>
              <w:t xml:space="preserve">Cet amendement proposé appuie l’amendement qu’il est proposé d’apporter à l’article 144, au point 49 du présent document de consultation, pour créer une nouvelle définition de </w:t>
            </w:r>
            <w:r w:rsidRPr="00A92CED">
              <w:rPr>
                <w:rFonts w:cstheme="minorHAnsi"/>
                <w:lang w:val="fr-CA"/>
              </w:rPr>
              <w:t>« titulaire de la licence principale </w:t>
            </w:r>
            <w:r w:rsidRPr="00A92CED">
              <w:rPr>
                <w:rFonts w:ascii="Calibri" w:hAnsi="Calibri" w:cs="Calibri"/>
                <w:lang w:val="fr-CA"/>
              </w:rPr>
              <w:t>» en énumérant les exigences spécifiques qui s’appliquent</w:t>
            </w:r>
            <w:r w:rsidRPr="00A92CED">
              <w:rPr>
                <w:lang w:val="fr-CA"/>
              </w:rPr>
              <w:t xml:space="preserve"> au titulaire de la licence principale.</w:t>
            </w:r>
          </w:p>
        </w:tc>
        <w:tc>
          <w:tcPr>
            <w:tcW w:w="3087" w:type="dxa"/>
          </w:tcPr>
          <w:p w14:paraId="0E5776BA" w14:textId="77777777" w:rsidR="003300F2" w:rsidRPr="00A92CED" w:rsidRDefault="003300F2" w:rsidP="00B811AC">
            <w:pPr>
              <w:rPr>
                <w:lang w:val="fr-CA"/>
              </w:rPr>
            </w:pPr>
          </w:p>
        </w:tc>
      </w:tr>
      <w:tr w:rsidR="00A92CED" w:rsidRPr="00A92CED" w14:paraId="2E068188" w14:textId="77777777" w:rsidTr="00E10233">
        <w:tc>
          <w:tcPr>
            <w:tcW w:w="3126" w:type="dxa"/>
          </w:tcPr>
          <w:p w14:paraId="6E788A87" w14:textId="77777777" w:rsidR="003300F2" w:rsidRPr="00A92CED" w:rsidRDefault="003300F2" w:rsidP="00B811AC">
            <w:pPr>
              <w:pStyle w:val="ListParagraph"/>
              <w:numPr>
                <w:ilvl w:val="0"/>
                <w:numId w:val="1"/>
              </w:numPr>
              <w:jc w:val="center"/>
              <w:rPr>
                <w:lang w:val="fr-CA"/>
              </w:rPr>
            </w:pPr>
          </w:p>
        </w:tc>
        <w:tc>
          <w:tcPr>
            <w:tcW w:w="3715" w:type="dxa"/>
          </w:tcPr>
          <w:p w14:paraId="2167548E" w14:textId="5844656B" w:rsidR="003300F2" w:rsidRPr="00A92CED" w:rsidRDefault="003300F2" w:rsidP="00B811AC">
            <w:pPr>
              <w:autoSpaceDE w:val="0"/>
              <w:autoSpaceDN w:val="0"/>
              <w:adjustRightInd w:val="0"/>
              <w:rPr>
                <w:rFonts w:ascii="Calibri" w:hAnsi="Calibri" w:cs="Calibri"/>
                <w:b/>
                <w:bCs/>
                <w:lang w:val="fr-CA"/>
              </w:rPr>
            </w:pPr>
            <w:r w:rsidRPr="00A92CED">
              <w:rPr>
                <w:rFonts w:ascii="Calibri" w:hAnsi="Calibri" w:cs="Calibri"/>
                <w:b/>
                <w:bCs/>
                <w:lang w:val="fr-CA"/>
              </w:rPr>
              <w:t>NOUVEAU</w:t>
            </w:r>
          </w:p>
        </w:tc>
        <w:tc>
          <w:tcPr>
            <w:tcW w:w="4076" w:type="dxa"/>
          </w:tcPr>
          <w:p w14:paraId="22F1FBCE" w14:textId="012F566A" w:rsidR="003300F2" w:rsidRPr="00A92CED" w:rsidRDefault="003300F2" w:rsidP="00E34534">
            <w:pPr>
              <w:rPr>
                <w:lang w:val="fr-CA"/>
              </w:rPr>
            </w:pPr>
            <w:r w:rsidRPr="00A92CED">
              <w:rPr>
                <w:lang w:val="fr-CA"/>
              </w:rPr>
              <w:t xml:space="preserve">Modifier la partie 6 pour ajouter les nouvelles exigences ci-après stipulant que le titulaire d’une licence d’expédition directe : </w:t>
            </w:r>
          </w:p>
          <w:p w14:paraId="3855CC1A" w14:textId="3C2D69CD" w:rsidR="003300F2" w:rsidRPr="00A92CED" w:rsidRDefault="003300F2" w:rsidP="00E34534">
            <w:pPr>
              <w:pStyle w:val="ListParagraph"/>
              <w:numPr>
                <w:ilvl w:val="0"/>
                <w:numId w:val="20"/>
              </w:numPr>
              <w:contextualSpacing w:val="0"/>
              <w:rPr>
                <w:lang w:val="fr-CA"/>
              </w:rPr>
            </w:pPr>
            <w:r w:rsidRPr="00A92CED">
              <w:rPr>
                <w:lang w:val="fr-CA"/>
              </w:rPr>
              <w:t>peut acquérir et vendre les explosifs décrit dans la licence d’expédition directe;</w:t>
            </w:r>
          </w:p>
          <w:p w14:paraId="14239AA3" w14:textId="402CB80C" w:rsidR="003300F2" w:rsidRPr="00A92CED" w:rsidRDefault="003300F2" w:rsidP="00E34534">
            <w:pPr>
              <w:pStyle w:val="ListParagraph"/>
              <w:numPr>
                <w:ilvl w:val="0"/>
                <w:numId w:val="20"/>
              </w:numPr>
              <w:contextualSpacing w:val="0"/>
              <w:rPr>
                <w:lang w:val="fr-CA"/>
              </w:rPr>
            </w:pPr>
            <w:r w:rsidRPr="00A92CED">
              <w:rPr>
                <w:lang w:val="fr-CA"/>
              </w:rPr>
              <w:t>ne doit pas stocker les explosifs.</w:t>
            </w:r>
          </w:p>
        </w:tc>
        <w:tc>
          <w:tcPr>
            <w:tcW w:w="3143" w:type="dxa"/>
            <w:gridSpan w:val="2"/>
          </w:tcPr>
          <w:p w14:paraId="34F02AE5" w14:textId="17A70191" w:rsidR="003300F2" w:rsidRPr="00A92CED" w:rsidRDefault="003300F2" w:rsidP="00B811AC">
            <w:pPr>
              <w:rPr>
                <w:lang w:val="fr-CA"/>
              </w:rPr>
            </w:pPr>
            <w:r w:rsidRPr="00A92CED">
              <w:rPr>
                <w:lang w:val="fr-CA"/>
              </w:rPr>
              <w:t xml:space="preserve">Cet amendement proposé appuie l’amendement qu’il est proposé d’apporter à l’article 144, au point 49 du présent document de consultation, pour créer une nouvelle définition de </w:t>
            </w:r>
            <w:r w:rsidRPr="00A92CED">
              <w:rPr>
                <w:rFonts w:cstheme="minorHAnsi"/>
                <w:lang w:val="fr-CA"/>
              </w:rPr>
              <w:t>« licence d’expédition directe </w:t>
            </w:r>
            <w:r w:rsidRPr="00A92CED">
              <w:rPr>
                <w:rFonts w:ascii="Calibri" w:hAnsi="Calibri" w:cs="Calibri"/>
                <w:lang w:val="fr-CA"/>
              </w:rPr>
              <w:t>» en énumérant les exigences spécifiques qui s’appliquent au titulaire d’une licence d’expédition directe.</w:t>
            </w:r>
          </w:p>
        </w:tc>
        <w:tc>
          <w:tcPr>
            <w:tcW w:w="3087" w:type="dxa"/>
          </w:tcPr>
          <w:p w14:paraId="7CAA5832" w14:textId="77777777" w:rsidR="003300F2" w:rsidRPr="00A92CED" w:rsidRDefault="003300F2" w:rsidP="00B811AC">
            <w:pPr>
              <w:rPr>
                <w:lang w:val="fr-CA"/>
              </w:rPr>
            </w:pPr>
          </w:p>
        </w:tc>
      </w:tr>
      <w:tr w:rsidR="00A92CED" w:rsidRPr="00A92CED" w14:paraId="6085286F" w14:textId="440FB8B6" w:rsidTr="00E10233">
        <w:tc>
          <w:tcPr>
            <w:tcW w:w="3126" w:type="dxa"/>
          </w:tcPr>
          <w:p w14:paraId="26C891E1" w14:textId="77777777" w:rsidR="003300F2" w:rsidRPr="00A92CED" w:rsidRDefault="003300F2" w:rsidP="00B811AC">
            <w:pPr>
              <w:pStyle w:val="ListParagraph"/>
              <w:numPr>
                <w:ilvl w:val="0"/>
                <w:numId w:val="1"/>
              </w:numPr>
              <w:jc w:val="center"/>
              <w:rPr>
                <w:lang w:val="fr-CA"/>
              </w:rPr>
            </w:pPr>
          </w:p>
        </w:tc>
        <w:tc>
          <w:tcPr>
            <w:tcW w:w="3715" w:type="dxa"/>
          </w:tcPr>
          <w:p w14:paraId="77912E64" w14:textId="5236F86C" w:rsidR="003300F2" w:rsidRPr="00A92CED" w:rsidRDefault="003300F2" w:rsidP="00B811AC">
            <w:pPr>
              <w:autoSpaceDE w:val="0"/>
              <w:autoSpaceDN w:val="0"/>
              <w:adjustRightInd w:val="0"/>
              <w:rPr>
                <w:rFonts w:ascii="Calibri" w:hAnsi="Calibri" w:cs="Calibri"/>
                <w:b/>
                <w:bCs/>
                <w:lang w:val="fr-CA"/>
              </w:rPr>
            </w:pPr>
            <w:r w:rsidRPr="00A92CED">
              <w:rPr>
                <w:rFonts w:ascii="Calibri" w:hAnsi="Calibri" w:cs="Calibri"/>
                <w:b/>
                <w:bCs/>
                <w:lang w:val="fr-CA"/>
              </w:rPr>
              <w:t>NOUVEAU</w:t>
            </w:r>
          </w:p>
        </w:tc>
        <w:tc>
          <w:tcPr>
            <w:tcW w:w="4076" w:type="dxa"/>
          </w:tcPr>
          <w:p w14:paraId="17ADA160" w14:textId="50C1C34B" w:rsidR="003300F2" w:rsidRPr="00A92CED" w:rsidRDefault="003300F2" w:rsidP="00B811AC">
            <w:pPr>
              <w:rPr>
                <w:lang w:val="fr-CA"/>
              </w:rPr>
            </w:pPr>
            <w:r w:rsidRPr="00A92CED">
              <w:rPr>
                <w:lang w:val="fr-CA"/>
              </w:rPr>
              <w:t xml:space="preserve">Modifier la partie 6 du Règlement pour ajouter une nouvelle exigence stipulant que toutes les poudrières pour les explosifs de type E et de type I doivent faire l’objet d’une surveillance physique ou électronique que le ministre juge acceptable, en fonction des risques pour la sécurité au site agréé, à moins d’indication contraire sur la licence. </w:t>
            </w:r>
          </w:p>
        </w:tc>
        <w:tc>
          <w:tcPr>
            <w:tcW w:w="3143" w:type="dxa"/>
            <w:gridSpan w:val="2"/>
          </w:tcPr>
          <w:p w14:paraId="7458F3F4" w14:textId="2DBC8983" w:rsidR="003300F2" w:rsidRPr="00A92CED" w:rsidRDefault="003300F2" w:rsidP="000D4192">
            <w:pPr>
              <w:rPr>
                <w:lang w:val="fr-CA"/>
              </w:rPr>
            </w:pPr>
            <w:r w:rsidRPr="00A92CED">
              <w:rPr>
                <w:lang w:val="fr-CA"/>
              </w:rPr>
              <w:t xml:space="preserve">Cette exigence est actuellement incluse dans les conditions de toutes les licences de fabrique de la section 1 et de la section 2 délivrées en vertu de la partie 5 du Règlement et de toutes les licences de poudrière. Comme il s’agit d’une exigence permanente qui s’applique à tous ces types de licences, cet amendement proposé vise à inscrire cette exigence dans le Règlement aux sections 1 et 2 de la partie 5 et à la partie 6 plutôt que de l’inclure dans les conditions de chaque licence. </w:t>
            </w:r>
          </w:p>
          <w:p w14:paraId="1393CA22" w14:textId="77777777" w:rsidR="003300F2" w:rsidRPr="00A92CED" w:rsidRDefault="003300F2" w:rsidP="000D4192">
            <w:pPr>
              <w:rPr>
                <w:lang w:val="fr-CA"/>
              </w:rPr>
            </w:pPr>
          </w:p>
          <w:p w14:paraId="7B149AD7" w14:textId="7C054013" w:rsidR="003300F2" w:rsidRPr="00A92CED" w:rsidRDefault="003300F2" w:rsidP="000D4192">
            <w:pPr>
              <w:rPr>
                <w:lang w:val="fr-CA"/>
              </w:rPr>
            </w:pPr>
            <w:r w:rsidRPr="00A92CED">
              <w:rPr>
                <w:lang w:val="fr-CA"/>
              </w:rPr>
              <w:t xml:space="preserve">Une politique de RNCan définirait les moyens physiques ou électroniques que le ministère juge acceptables. </w:t>
            </w:r>
          </w:p>
        </w:tc>
        <w:tc>
          <w:tcPr>
            <w:tcW w:w="3087" w:type="dxa"/>
          </w:tcPr>
          <w:p w14:paraId="2A2DFD81" w14:textId="77777777" w:rsidR="003300F2" w:rsidRPr="00A92CED" w:rsidRDefault="003300F2" w:rsidP="00B811AC">
            <w:pPr>
              <w:rPr>
                <w:lang w:val="fr-CA"/>
              </w:rPr>
            </w:pPr>
          </w:p>
        </w:tc>
      </w:tr>
      <w:tr w:rsidR="00A92CED" w:rsidRPr="00A92CED" w14:paraId="5033F910" w14:textId="77777777" w:rsidTr="00E10233">
        <w:tc>
          <w:tcPr>
            <w:tcW w:w="3126" w:type="dxa"/>
          </w:tcPr>
          <w:p w14:paraId="0DEE89AC" w14:textId="77777777" w:rsidR="003300F2" w:rsidRPr="00A92CED" w:rsidRDefault="003300F2" w:rsidP="00B811AC">
            <w:pPr>
              <w:pStyle w:val="ListParagraph"/>
              <w:numPr>
                <w:ilvl w:val="0"/>
                <w:numId w:val="1"/>
              </w:numPr>
              <w:jc w:val="center"/>
              <w:rPr>
                <w:lang w:val="fr-CA"/>
              </w:rPr>
            </w:pPr>
          </w:p>
        </w:tc>
        <w:tc>
          <w:tcPr>
            <w:tcW w:w="3715" w:type="dxa"/>
          </w:tcPr>
          <w:p w14:paraId="13244662" w14:textId="69E26220" w:rsidR="003300F2" w:rsidRPr="00A92CED" w:rsidRDefault="003300F2" w:rsidP="00B811AC">
            <w:pPr>
              <w:autoSpaceDE w:val="0"/>
              <w:autoSpaceDN w:val="0"/>
              <w:adjustRightInd w:val="0"/>
              <w:rPr>
                <w:rFonts w:ascii="Calibri" w:hAnsi="Calibri" w:cs="Calibri"/>
                <w:b/>
                <w:bCs/>
                <w:lang w:val="fr-CA"/>
              </w:rPr>
            </w:pPr>
            <w:r w:rsidRPr="00A92CED">
              <w:rPr>
                <w:rFonts w:ascii="Calibri" w:hAnsi="Calibri" w:cs="Calibri"/>
                <w:b/>
                <w:bCs/>
                <w:lang w:val="fr-CA"/>
              </w:rPr>
              <w:t>NOUVEAU</w:t>
            </w:r>
          </w:p>
        </w:tc>
        <w:tc>
          <w:tcPr>
            <w:tcW w:w="4076" w:type="dxa"/>
          </w:tcPr>
          <w:p w14:paraId="3BEE751B" w14:textId="66BFB438" w:rsidR="003300F2" w:rsidRPr="00A92CED" w:rsidRDefault="003300F2" w:rsidP="00576019">
            <w:pPr>
              <w:rPr>
                <w:lang w:val="fr-CA"/>
              </w:rPr>
            </w:pPr>
            <w:r w:rsidRPr="00A92CED">
              <w:rPr>
                <w:lang w:val="fr-CA"/>
              </w:rPr>
              <w:t>Modifier la partie 6 pour ajouter une nouvelle exigence exemptant les pylônes de déclenchement d’avalanches éloignés de l’obligation d’obtenir une licence de stockage, à condition que les exigences suivantes soient respectées :</w:t>
            </w:r>
          </w:p>
          <w:p w14:paraId="460F4E5F" w14:textId="1780181B" w:rsidR="003300F2" w:rsidRPr="00A92CED" w:rsidRDefault="003300F2" w:rsidP="00576019">
            <w:pPr>
              <w:pStyle w:val="ListParagraph"/>
              <w:numPr>
                <w:ilvl w:val="0"/>
                <w:numId w:val="21"/>
              </w:numPr>
              <w:rPr>
                <w:lang w:val="fr-CA"/>
              </w:rPr>
            </w:pPr>
            <w:r w:rsidRPr="00A92CED">
              <w:rPr>
                <w:lang w:val="fr-CA"/>
              </w:rPr>
              <w:t>La tour de déclenchement d’avalanches n’est pas facilement accessible au public;</w:t>
            </w:r>
          </w:p>
          <w:p w14:paraId="543E69E1" w14:textId="47AAD8B5" w:rsidR="003300F2" w:rsidRPr="00A92CED" w:rsidRDefault="003300F2" w:rsidP="00576019">
            <w:pPr>
              <w:pStyle w:val="ListParagraph"/>
              <w:numPr>
                <w:ilvl w:val="0"/>
                <w:numId w:val="21"/>
              </w:numPr>
              <w:rPr>
                <w:lang w:val="fr-CA"/>
              </w:rPr>
            </w:pPr>
            <w:r w:rsidRPr="00A92CED">
              <w:rPr>
                <w:lang w:val="fr-CA"/>
              </w:rPr>
              <w:t>Les explosifs déployés sont surveillés en permanence;</w:t>
            </w:r>
          </w:p>
          <w:p w14:paraId="71ACC83C" w14:textId="5D0DD7F2" w:rsidR="003300F2" w:rsidRPr="00A92CED" w:rsidRDefault="003300F2" w:rsidP="00576019">
            <w:pPr>
              <w:pStyle w:val="ListParagraph"/>
              <w:numPr>
                <w:ilvl w:val="0"/>
                <w:numId w:val="21"/>
              </w:numPr>
              <w:rPr>
                <w:lang w:val="fr-CA"/>
              </w:rPr>
            </w:pPr>
            <w:r w:rsidRPr="00A92CED">
              <w:rPr>
                <w:lang w:val="fr-CA"/>
              </w:rPr>
              <w:lastRenderedPageBreak/>
              <w:t>Les explosifs sont déployés conformément aux pratiques exemplaires de l’industrie des explosifs.</w:t>
            </w:r>
          </w:p>
        </w:tc>
        <w:tc>
          <w:tcPr>
            <w:tcW w:w="3143" w:type="dxa"/>
            <w:gridSpan w:val="2"/>
          </w:tcPr>
          <w:p w14:paraId="0C8A8D34" w14:textId="7732D26B" w:rsidR="003300F2" w:rsidRPr="00A92CED" w:rsidRDefault="003300F2" w:rsidP="00B811AC">
            <w:pPr>
              <w:rPr>
                <w:lang w:val="fr-CA"/>
              </w:rPr>
            </w:pPr>
            <w:r w:rsidRPr="00A92CED">
              <w:rPr>
                <w:lang w:val="fr-CA"/>
              </w:rPr>
              <w:lastRenderedPageBreak/>
              <w:t>Cet amendement proposé appuie l’intention de la politique de moderniser le Règlement et officialiserait les processus opérationnels actuels.</w:t>
            </w:r>
          </w:p>
        </w:tc>
        <w:tc>
          <w:tcPr>
            <w:tcW w:w="3087" w:type="dxa"/>
          </w:tcPr>
          <w:p w14:paraId="3A57AA7B" w14:textId="77777777" w:rsidR="003300F2" w:rsidRPr="00A92CED" w:rsidRDefault="003300F2" w:rsidP="00B811AC">
            <w:pPr>
              <w:rPr>
                <w:lang w:val="fr-CA"/>
              </w:rPr>
            </w:pPr>
          </w:p>
        </w:tc>
      </w:tr>
      <w:tr w:rsidR="00A92CED" w:rsidRPr="00A92CED" w14:paraId="0B9B71D3" w14:textId="4162FA1B" w:rsidTr="00F47EB0">
        <w:tc>
          <w:tcPr>
            <w:tcW w:w="17147" w:type="dxa"/>
            <w:gridSpan w:val="6"/>
            <w:shd w:val="clear" w:color="auto" w:fill="D9D9D9" w:themeFill="background1" w:themeFillShade="D9"/>
          </w:tcPr>
          <w:p w14:paraId="0D21B926" w14:textId="0F0244B8" w:rsidR="003300F2" w:rsidRPr="00A92CED" w:rsidRDefault="003300F2" w:rsidP="00B811AC">
            <w:pPr>
              <w:spacing w:before="60" w:after="60"/>
              <w:jc w:val="center"/>
              <w:rPr>
                <w:rFonts w:ascii="Arial" w:hAnsi="Arial" w:cs="Arial"/>
                <w:b/>
                <w:sz w:val="24"/>
                <w:szCs w:val="24"/>
                <w:lang w:val="fr-CA"/>
              </w:rPr>
            </w:pPr>
            <w:r w:rsidRPr="00A92CED">
              <w:rPr>
                <w:rFonts w:ascii="Arial" w:hAnsi="Arial" w:cs="Arial"/>
                <w:b/>
                <w:sz w:val="24"/>
                <w:szCs w:val="24"/>
                <w:lang w:val="fr-CA"/>
              </w:rPr>
              <w:t>PARTIE 7 – Dispositions d’application générale</w:t>
            </w:r>
          </w:p>
        </w:tc>
      </w:tr>
      <w:tr w:rsidR="00A92CED" w:rsidRPr="00A92CED" w14:paraId="0003BFA4" w14:textId="61C8AA63" w:rsidTr="00E10233">
        <w:tc>
          <w:tcPr>
            <w:tcW w:w="3126" w:type="dxa"/>
          </w:tcPr>
          <w:p w14:paraId="7AE4D46C" w14:textId="77777777" w:rsidR="003300F2" w:rsidRPr="00A92CED" w:rsidRDefault="003300F2" w:rsidP="00B811AC">
            <w:pPr>
              <w:pStyle w:val="ListParagraph"/>
              <w:numPr>
                <w:ilvl w:val="0"/>
                <w:numId w:val="1"/>
              </w:numPr>
              <w:jc w:val="center"/>
              <w:rPr>
                <w:lang w:val="fr-CA"/>
              </w:rPr>
            </w:pPr>
          </w:p>
        </w:tc>
        <w:tc>
          <w:tcPr>
            <w:tcW w:w="3715" w:type="dxa"/>
          </w:tcPr>
          <w:p w14:paraId="37B61E29" w14:textId="20A0A952" w:rsidR="003300F2" w:rsidRPr="00A92CED" w:rsidRDefault="003300F2" w:rsidP="00B811AC">
            <w:pPr>
              <w:rPr>
                <w:rFonts w:ascii="Calibri" w:hAnsi="Calibri" w:cs="Calibri"/>
                <w:lang w:val="fr-CA"/>
              </w:rPr>
            </w:pPr>
            <w:r w:rsidRPr="00A92CED">
              <w:rPr>
                <w:rFonts w:ascii="Calibri" w:hAnsi="Calibri" w:cs="Calibri"/>
                <w:b/>
                <w:bCs/>
                <w:lang w:val="fr-CA"/>
              </w:rPr>
              <w:t xml:space="preserve">169 </w:t>
            </w:r>
            <w:r w:rsidRPr="00A92CED">
              <w:rPr>
                <w:rFonts w:ascii="Calibri" w:hAnsi="Calibri" w:cs="Calibri"/>
                <w:lang w:val="fr-CA"/>
              </w:rPr>
              <w:t>(1) Avant de mettre hors service sa fabrique, le titulaire de la licence de fabrique de la section 1 soumet par</w:t>
            </w:r>
            <w:r w:rsidRPr="00A92CED">
              <w:rPr>
                <w:rFonts w:ascii="Calibri" w:hAnsi="Calibri" w:cs="Calibri"/>
                <w:lang w:val="fr-CA"/>
              </w:rPr>
              <w:br/>
              <w:t>écrit au ministre un plan de mise hors service.</w:t>
            </w:r>
          </w:p>
        </w:tc>
        <w:tc>
          <w:tcPr>
            <w:tcW w:w="4076" w:type="dxa"/>
          </w:tcPr>
          <w:p w14:paraId="60AFDD17" w14:textId="2C34313E" w:rsidR="003300F2" w:rsidRPr="00A92CED" w:rsidRDefault="003300F2" w:rsidP="00B811AC">
            <w:pPr>
              <w:rPr>
                <w:lang w:val="fr-CA"/>
              </w:rPr>
            </w:pPr>
            <w:r w:rsidRPr="00A92CED">
              <w:rPr>
                <w:bCs/>
                <w:lang w:val="fr-CA"/>
              </w:rPr>
              <w:t xml:space="preserve">Modifier le paragraphe 169(1) pour remplacer </w:t>
            </w:r>
            <w:r w:rsidRPr="00A92CED">
              <w:rPr>
                <w:rFonts w:cstheme="minorHAnsi"/>
                <w:bCs/>
                <w:lang w:val="fr-CA"/>
              </w:rPr>
              <w:t>« sa fabrique </w:t>
            </w:r>
            <w:r w:rsidRPr="00A92CED">
              <w:rPr>
                <w:rFonts w:ascii="Calibri" w:hAnsi="Calibri" w:cs="Calibri"/>
                <w:bCs/>
                <w:lang w:val="fr-CA"/>
              </w:rPr>
              <w:t xml:space="preserve">» par </w:t>
            </w:r>
            <w:r w:rsidRPr="00A92CED">
              <w:rPr>
                <w:rFonts w:cstheme="minorHAnsi"/>
                <w:bCs/>
                <w:lang w:val="fr-CA"/>
              </w:rPr>
              <w:t>« sa fabrique ou son site satellite </w:t>
            </w:r>
            <w:r w:rsidRPr="00A92CED">
              <w:rPr>
                <w:rFonts w:ascii="Calibri" w:hAnsi="Calibri" w:cs="Calibri"/>
                <w:bCs/>
                <w:lang w:val="fr-CA"/>
              </w:rPr>
              <w:t>»</w:t>
            </w:r>
            <w:r w:rsidRPr="00A92CED">
              <w:rPr>
                <w:bCs/>
                <w:lang w:val="fr-CA"/>
              </w:rPr>
              <w:t>.</w:t>
            </w:r>
          </w:p>
        </w:tc>
        <w:tc>
          <w:tcPr>
            <w:tcW w:w="3143" w:type="dxa"/>
            <w:gridSpan w:val="2"/>
          </w:tcPr>
          <w:p w14:paraId="55C19F29" w14:textId="5BAB74DD" w:rsidR="003300F2" w:rsidRPr="00A92CED" w:rsidRDefault="003300F2" w:rsidP="00B811AC">
            <w:pPr>
              <w:rPr>
                <w:lang w:val="fr-CA"/>
              </w:rPr>
            </w:pPr>
            <w:r w:rsidRPr="00A92CED">
              <w:rPr>
                <w:lang w:val="fr-CA"/>
              </w:rPr>
              <w:t>Cet amendement proposé vise à faire en sorte que le paragraphe 169(1) englobe les sites satellites.</w:t>
            </w:r>
          </w:p>
        </w:tc>
        <w:tc>
          <w:tcPr>
            <w:tcW w:w="3087" w:type="dxa"/>
          </w:tcPr>
          <w:p w14:paraId="6A3D9205" w14:textId="77777777" w:rsidR="003300F2" w:rsidRPr="00A92CED" w:rsidRDefault="003300F2" w:rsidP="00B811AC">
            <w:pPr>
              <w:rPr>
                <w:lang w:val="fr-CA"/>
              </w:rPr>
            </w:pPr>
          </w:p>
        </w:tc>
      </w:tr>
      <w:tr w:rsidR="00A92CED" w:rsidRPr="00A92CED" w14:paraId="482FB4AE" w14:textId="5717C5E6" w:rsidTr="00E10233">
        <w:tc>
          <w:tcPr>
            <w:tcW w:w="3126" w:type="dxa"/>
          </w:tcPr>
          <w:p w14:paraId="4060A59E" w14:textId="77777777" w:rsidR="003300F2" w:rsidRPr="00A92CED" w:rsidRDefault="003300F2" w:rsidP="00B811AC">
            <w:pPr>
              <w:pStyle w:val="ListParagraph"/>
              <w:numPr>
                <w:ilvl w:val="0"/>
                <w:numId w:val="1"/>
              </w:numPr>
              <w:jc w:val="center"/>
              <w:rPr>
                <w:lang w:val="fr-CA"/>
              </w:rPr>
            </w:pPr>
          </w:p>
        </w:tc>
        <w:tc>
          <w:tcPr>
            <w:tcW w:w="3715" w:type="dxa"/>
          </w:tcPr>
          <w:p w14:paraId="56BE753D" w14:textId="4C369F37" w:rsidR="003300F2" w:rsidRPr="00A92CED" w:rsidRDefault="003300F2" w:rsidP="00B811AC">
            <w:pPr>
              <w:rPr>
                <w:rFonts w:ascii="Calibri" w:hAnsi="Calibri" w:cs="Calibri"/>
                <w:lang w:val="fr-CA"/>
              </w:rPr>
            </w:pPr>
            <w:r w:rsidRPr="00A92CED">
              <w:rPr>
                <w:rFonts w:ascii="Calibri" w:hAnsi="Calibri" w:cs="Calibri"/>
                <w:b/>
                <w:bCs/>
                <w:lang w:val="fr-CA"/>
              </w:rPr>
              <w:t>169</w:t>
            </w:r>
            <w:r w:rsidRPr="00A92CED">
              <w:rPr>
                <w:rFonts w:ascii="Calibri" w:hAnsi="Calibri" w:cs="Calibri"/>
                <w:lang w:val="fr-CA"/>
              </w:rPr>
              <w:t xml:space="preserve"> (2)</w:t>
            </w:r>
            <w:r w:rsidRPr="00A92CED">
              <w:rPr>
                <w:rFonts w:ascii="Calibri" w:hAnsi="Calibri" w:cs="Calibri"/>
                <w:b/>
                <w:bCs/>
                <w:lang w:val="fr-CA"/>
              </w:rPr>
              <w:t xml:space="preserve"> </w:t>
            </w:r>
            <w:r w:rsidRPr="00A92CED">
              <w:rPr>
                <w:rFonts w:ascii="Calibri" w:hAnsi="Calibri" w:cs="Calibri"/>
                <w:lang w:val="fr-CA"/>
              </w:rPr>
              <w:t>Avant de mettre hors service un lieu de travail ou une poudrière, le titulaire d’une licence de fabrique de la section 2, d’une licence de poudrière ou d’un certificat de fabrication soumet au ministre un plan de mise hors service par écrit si le lieu de travail ou la poudrière contient des résidus d’*explosifs.</w:t>
            </w:r>
          </w:p>
        </w:tc>
        <w:tc>
          <w:tcPr>
            <w:tcW w:w="4076" w:type="dxa"/>
          </w:tcPr>
          <w:p w14:paraId="63A49301" w14:textId="055ADB33" w:rsidR="003300F2" w:rsidRPr="00A92CED" w:rsidRDefault="003300F2" w:rsidP="00B811AC">
            <w:pPr>
              <w:rPr>
                <w:lang w:val="fr-CA"/>
              </w:rPr>
            </w:pPr>
            <w:r w:rsidRPr="00A92CED">
              <w:rPr>
                <w:bCs/>
                <w:lang w:val="fr-CA"/>
              </w:rPr>
              <w:t xml:space="preserve">Modifier la version anglaise du paragraphe 169(2) pour remplacer </w:t>
            </w:r>
            <w:r w:rsidRPr="00A92CED">
              <w:rPr>
                <w:rFonts w:cstheme="minorHAnsi"/>
                <w:bCs/>
                <w:lang w:val="fr-CA"/>
              </w:rPr>
              <w:t>« </w:t>
            </w:r>
            <w:r w:rsidRPr="00A92CED">
              <w:rPr>
                <w:bCs/>
                <w:lang w:val="fr-CA"/>
              </w:rPr>
              <w:t>decomissioning plan </w:t>
            </w:r>
            <w:r w:rsidRPr="00A92CED">
              <w:rPr>
                <w:rFonts w:ascii="Calibri" w:hAnsi="Calibri" w:cs="Calibri"/>
                <w:bCs/>
                <w:lang w:val="fr-CA"/>
              </w:rPr>
              <w:t xml:space="preserve">» par </w:t>
            </w:r>
            <w:r w:rsidRPr="00A92CED">
              <w:rPr>
                <w:rFonts w:cstheme="minorHAnsi"/>
                <w:bCs/>
                <w:lang w:val="fr-CA"/>
              </w:rPr>
              <w:t>« </w:t>
            </w:r>
            <w:r w:rsidRPr="00A92CED">
              <w:rPr>
                <w:bCs/>
                <w:lang w:val="fr-CA"/>
              </w:rPr>
              <w:t>decommissioning plan </w:t>
            </w:r>
            <w:r w:rsidRPr="00A92CED">
              <w:rPr>
                <w:rFonts w:ascii="Calibri" w:hAnsi="Calibri" w:cs="Calibri"/>
                <w:bCs/>
                <w:lang w:val="fr-CA"/>
              </w:rPr>
              <w:t>».</w:t>
            </w:r>
          </w:p>
        </w:tc>
        <w:tc>
          <w:tcPr>
            <w:tcW w:w="3143" w:type="dxa"/>
            <w:gridSpan w:val="2"/>
          </w:tcPr>
          <w:p w14:paraId="3BA87224" w14:textId="03BEF267" w:rsidR="003300F2" w:rsidRPr="00A92CED" w:rsidRDefault="003300F2" w:rsidP="00B811AC">
            <w:pPr>
              <w:rPr>
                <w:lang w:val="fr-CA"/>
              </w:rPr>
            </w:pPr>
            <w:r w:rsidRPr="00A92CED">
              <w:rPr>
                <w:lang w:val="fr-CA"/>
              </w:rPr>
              <w:t>Cet amendement proposé vise à corriger une coquille dans la version anglaise du paragraphe 169(2).</w:t>
            </w:r>
          </w:p>
        </w:tc>
        <w:tc>
          <w:tcPr>
            <w:tcW w:w="3087" w:type="dxa"/>
          </w:tcPr>
          <w:p w14:paraId="460FDA9A" w14:textId="77777777" w:rsidR="003300F2" w:rsidRPr="00A92CED" w:rsidRDefault="003300F2" w:rsidP="00B811AC">
            <w:pPr>
              <w:rPr>
                <w:lang w:val="fr-CA"/>
              </w:rPr>
            </w:pPr>
          </w:p>
        </w:tc>
      </w:tr>
      <w:tr w:rsidR="00A92CED" w:rsidRPr="00A92CED" w14:paraId="453B00F8" w14:textId="69421BD0" w:rsidTr="00E10233">
        <w:tc>
          <w:tcPr>
            <w:tcW w:w="3126" w:type="dxa"/>
          </w:tcPr>
          <w:p w14:paraId="12FBD2C0" w14:textId="77777777" w:rsidR="003300F2" w:rsidRPr="00A92CED" w:rsidRDefault="003300F2" w:rsidP="00B811AC">
            <w:pPr>
              <w:pStyle w:val="ListParagraph"/>
              <w:numPr>
                <w:ilvl w:val="0"/>
                <w:numId w:val="1"/>
              </w:numPr>
              <w:jc w:val="center"/>
              <w:rPr>
                <w:lang w:val="fr-CA"/>
              </w:rPr>
            </w:pPr>
          </w:p>
        </w:tc>
        <w:tc>
          <w:tcPr>
            <w:tcW w:w="3715" w:type="dxa"/>
          </w:tcPr>
          <w:p w14:paraId="61D0B955" w14:textId="0C042A0E" w:rsidR="003300F2" w:rsidRPr="00A92CED" w:rsidRDefault="003300F2" w:rsidP="00B811AC">
            <w:pPr>
              <w:rPr>
                <w:rFonts w:ascii="Calibri" w:hAnsi="Calibri" w:cs="Calibri"/>
                <w:lang w:val="fr-CA"/>
              </w:rPr>
            </w:pPr>
            <w:r w:rsidRPr="00A92CED">
              <w:rPr>
                <w:rFonts w:ascii="Calibri" w:hAnsi="Calibri" w:cs="Calibri"/>
                <w:b/>
                <w:bCs/>
                <w:lang w:val="fr-CA"/>
              </w:rPr>
              <w:t xml:space="preserve">169 </w:t>
            </w:r>
            <w:r w:rsidRPr="00A92CED">
              <w:rPr>
                <w:rFonts w:ascii="Calibri" w:hAnsi="Calibri" w:cs="Calibri"/>
                <w:lang w:val="fr-CA"/>
              </w:rPr>
              <w:t>(5) Le titulaire met en œuvre le plan de mise hors service et veille à ce que la mise hors service de la fabrique, du lieu de travail ou de la poudrière soit faite de façon sécuritaire et de façon qu’il n’y ait aucune possibilité d’effets néfastes pour les personnes ou les biens par la suite. Il informe le ministre lorsque la mise hors service est terminée.</w:t>
            </w:r>
          </w:p>
        </w:tc>
        <w:tc>
          <w:tcPr>
            <w:tcW w:w="4076" w:type="dxa"/>
          </w:tcPr>
          <w:p w14:paraId="1F62EAD1" w14:textId="7BC8E386" w:rsidR="003300F2" w:rsidRPr="00A92CED" w:rsidRDefault="003300F2" w:rsidP="00B811AC">
            <w:pPr>
              <w:rPr>
                <w:lang w:val="fr-CA"/>
              </w:rPr>
            </w:pPr>
            <w:r w:rsidRPr="00A92CED">
              <w:rPr>
                <w:bCs/>
                <w:lang w:val="fr-CA"/>
              </w:rPr>
              <w:t xml:space="preserve">Modifier le paragraphe 169(5) pour remplacer </w:t>
            </w:r>
            <w:r w:rsidRPr="00A92CED">
              <w:rPr>
                <w:rFonts w:cstheme="minorHAnsi"/>
                <w:bCs/>
                <w:lang w:val="fr-CA"/>
              </w:rPr>
              <w:t>« de la fabrique, du lieu de travail ou de la poudrière </w:t>
            </w:r>
            <w:r w:rsidRPr="00A92CED">
              <w:rPr>
                <w:rFonts w:ascii="Calibri" w:hAnsi="Calibri" w:cs="Calibri"/>
                <w:bCs/>
                <w:lang w:val="fr-CA"/>
              </w:rPr>
              <w:t xml:space="preserve">» par </w:t>
            </w:r>
            <w:r w:rsidRPr="00A92CED">
              <w:rPr>
                <w:rFonts w:cstheme="minorHAnsi"/>
                <w:bCs/>
                <w:lang w:val="fr-CA"/>
              </w:rPr>
              <w:t>« de la fabrique, du site satellite, du lieu de travail ou de la poudrière </w:t>
            </w:r>
            <w:r w:rsidRPr="00A92CED">
              <w:rPr>
                <w:rFonts w:ascii="Calibri" w:hAnsi="Calibri" w:cs="Calibri"/>
                <w:bCs/>
                <w:lang w:val="fr-CA"/>
              </w:rPr>
              <w:t>».</w:t>
            </w:r>
          </w:p>
        </w:tc>
        <w:tc>
          <w:tcPr>
            <w:tcW w:w="3143" w:type="dxa"/>
            <w:gridSpan w:val="2"/>
          </w:tcPr>
          <w:p w14:paraId="30D70DD9" w14:textId="410EED54" w:rsidR="003300F2" w:rsidRPr="00A92CED" w:rsidRDefault="003300F2" w:rsidP="00B811AC">
            <w:pPr>
              <w:rPr>
                <w:lang w:val="fr-CA"/>
              </w:rPr>
            </w:pPr>
            <w:r w:rsidRPr="00A92CED">
              <w:rPr>
                <w:lang w:val="fr-CA"/>
              </w:rPr>
              <w:t>Cet amendement proposé vise à faire en sorte que le paragraphe 169(5) englobe les sites satellites.</w:t>
            </w:r>
          </w:p>
        </w:tc>
        <w:tc>
          <w:tcPr>
            <w:tcW w:w="3087" w:type="dxa"/>
          </w:tcPr>
          <w:p w14:paraId="2831DA8C" w14:textId="77777777" w:rsidR="003300F2" w:rsidRPr="00A92CED" w:rsidRDefault="003300F2" w:rsidP="00B811AC">
            <w:pPr>
              <w:rPr>
                <w:lang w:val="fr-CA"/>
              </w:rPr>
            </w:pPr>
          </w:p>
        </w:tc>
      </w:tr>
      <w:tr w:rsidR="00A92CED" w:rsidRPr="00A92CED" w14:paraId="76446FA7" w14:textId="77777777" w:rsidTr="00D17D1A">
        <w:tc>
          <w:tcPr>
            <w:tcW w:w="17147" w:type="dxa"/>
            <w:gridSpan w:val="6"/>
            <w:shd w:val="clear" w:color="auto" w:fill="D9D9D9" w:themeFill="background1" w:themeFillShade="D9"/>
          </w:tcPr>
          <w:p w14:paraId="44E091C1" w14:textId="79C0FF9A" w:rsidR="003300F2" w:rsidRPr="00A92CED" w:rsidRDefault="003300F2" w:rsidP="00B811AC">
            <w:pPr>
              <w:spacing w:before="60" w:after="60"/>
              <w:jc w:val="center"/>
              <w:rPr>
                <w:lang w:val="fr-CA"/>
              </w:rPr>
            </w:pPr>
            <w:r w:rsidRPr="00A92CED">
              <w:rPr>
                <w:rFonts w:ascii="Arial" w:hAnsi="Arial" w:cs="Arial"/>
                <w:b/>
                <w:sz w:val="24"/>
                <w:szCs w:val="24"/>
                <w:lang w:val="fr-CA"/>
              </w:rPr>
              <w:t>PARTIE 7 – Dispositions d’application générale</w:t>
            </w:r>
          </w:p>
        </w:tc>
      </w:tr>
      <w:tr w:rsidR="00A92CED" w:rsidRPr="00A92CED" w14:paraId="5C02EBAE" w14:textId="77777777" w:rsidTr="00E10233">
        <w:tc>
          <w:tcPr>
            <w:tcW w:w="3126" w:type="dxa"/>
          </w:tcPr>
          <w:p w14:paraId="645D2A04" w14:textId="77777777" w:rsidR="003300F2" w:rsidRPr="00A92CED" w:rsidRDefault="003300F2" w:rsidP="00B811AC">
            <w:pPr>
              <w:pStyle w:val="ListParagraph"/>
              <w:numPr>
                <w:ilvl w:val="0"/>
                <w:numId w:val="1"/>
              </w:numPr>
              <w:jc w:val="center"/>
              <w:rPr>
                <w:lang w:val="fr-CA"/>
              </w:rPr>
            </w:pPr>
          </w:p>
        </w:tc>
        <w:tc>
          <w:tcPr>
            <w:tcW w:w="3715" w:type="dxa"/>
          </w:tcPr>
          <w:p w14:paraId="6521B49E" w14:textId="1D0196D1" w:rsidR="003300F2" w:rsidRPr="00A92CED" w:rsidRDefault="003300F2" w:rsidP="00B811AC">
            <w:pPr>
              <w:rPr>
                <w:rFonts w:ascii="Calibri" w:hAnsi="Calibri" w:cs="Calibri"/>
                <w:b/>
                <w:bCs/>
                <w:lang w:val="fr-CA"/>
              </w:rPr>
            </w:pPr>
            <w:r w:rsidRPr="00A92CED">
              <w:rPr>
                <w:rFonts w:ascii="Calibri" w:hAnsi="Calibri" w:cs="Calibri"/>
                <w:b/>
                <w:bCs/>
                <w:lang w:val="fr-CA"/>
              </w:rPr>
              <w:t xml:space="preserve">173 </w:t>
            </w:r>
            <w:r w:rsidRPr="00A92CED">
              <w:rPr>
                <w:rFonts w:ascii="Calibri" w:hAnsi="Calibri" w:cs="Calibri"/>
                <w:lang w:val="fr-CA"/>
              </w:rPr>
              <w:t>(1)</w:t>
            </w:r>
            <w:r w:rsidRPr="00A92CED">
              <w:rPr>
                <w:rFonts w:ascii="Calibri" w:hAnsi="Calibri" w:cs="Calibri"/>
                <w:b/>
                <w:bCs/>
                <w:lang w:val="fr-CA"/>
              </w:rPr>
              <w:t xml:space="preserve"> </w:t>
            </w:r>
            <w:r w:rsidRPr="00A92CED">
              <w:rPr>
                <w:rFonts w:ascii="Calibri" w:hAnsi="Calibri" w:cs="Calibri"/>
                <w:lang w:val="fr-CA"/>
              </w:rPr>
              <w:t xml:space="preserve">L’inspecteur en chef des explosifs peut suspendre, en tout ou </w:t>
            </w:r>
            <w:r w:rsidRPr="00A92CED">
              <w:rPr>
                <w:rFonts w:ascii="Calibri" w:hAnsi="Calibri" w:cs="Calibri"/>
                <w:lang w:val="fr-CA"/>
              </w:rPr>
              <w:lastRenderedPageBreak/>
              <w:t xml:space="preserve">en partie, une licence, un permis ou un certificat si le titulaire omet de se conformer à la </w:t>
            </w:r>
            <w:r w:rsidRPr="00A92CED">
              <w:rPr>
                <w:rFonts w:ascii="Calibri" w:hAnsi="Calibri" w:cs="Calibri"/>
                <w:i/>
                <w:iCs/>
                <w:lang w:val="fr-CA"/>
              </w:rPr>
              <w:t>Loi sur les explosifs</w:t>
            </w:r>
            <w:r w:rsidRPr="00A92CED">
              <w:rPr>
                <w:rFonts w:ascii="Calibri" w:hAnsi="Calibri" w:cs="Calibri"/>
                <w:lang w:val="fr-CA"/>
              </w:rPr>
              <w:t>, au présent règlement ou aux conditions de son document. La suspension s’applique jusqu’à ce qu’il ait pris les mesures nécessaires pour remédier à la situation.</w:t>
            </w:r>
          </w:p>
        </w:tc>
        <w:tc>
          <w:tcPr>
            <w:tcW w:w="4076" w:type="dxa"/>
          </w:tcPr>
          <w:p w14:paraId="591AF115" w14:textId="5F05B5E4" w:rsidR="003300F2" w:rsidRPr="00A92CED" w:rsidRDefault="003300F2" w:rsidP="00B811AC">
            <w:pPr>
              <w:rPr>
                <w:lang w:val="fr-CA"/>
              </w:rPr>
            </w:pPr>
            <w:r w:rsidRPr="00A92CED">
              <w:rPr>
                <w:bCs/>
                <w:lang w:val="fr-CA"/>
              </w:rPr>
              <w:lastRenderedPageBreak/>
              <w:t xml:space="preserve">Modifier la deuxième phrase du paragraphe 173(1) pour préciser que </w:t>
            </w:r>
            <w:r w:rsidRPr="00A92CED">
              <w:rPr>
                <w:bCs/>
                <w:lang w:val="fr-CA"/>
              </w:rPr>
              <w:lastRenderedPageBreak/>
              <w:t>l’inspecteur en chef des explosifs peut lever la suspension si le titulaire prend les mesures nécessaires pour remédier à la situation.</w:t>
            </w:r>
          </w:p>
        </w:tc>
        <w:tc>
          <w:tcPr>
            <w:tcW w:w="3143" w:type="dxa"/>
            <w:gridSpan w:val="2"/>
          </w:tcPr>
          <w:p w14:paraId="799F8ABE" w14:textId="53DD980F" w:rsidR="003300F2" w:rsidRPr="00A92CED" w:rsidRDefault="003300F2" w:rsidP="00B811AC">
            <w:pPr>
              <w:rPr>
                <w:lang w:val="fr-CA"/>
              </w:rPr>
            </w:pPr>
            <w:r w:rsidRPr="00A92CED">
              <w:rPr>
                <w:lang w:val="fr-CA"/>
              </w:rPr>
              <w:lastRenderedPageBreak/>
              <w:t xml:space="preserve">Cet amendement proposé vise à préciser que la suspension ne </w:t>
            </w:r>
            <w:r w:rsidRPr="00A92CED">
              <w:rPr>
                <w:lang w:val="fr-CA"/>
              </w:rPr>
              <w:lastRenderedPageBreak/>
              <w:t>prend pas fin automatiquement lorsque les mesures requises pour remédier à la situation sont prises, mais plutôt que la conformité doit être vérifiée par un inspecteur qui lèvera ensuite la suspension ou recommandera à l’inspecteur en chef des explosifs de lever la suspension.</w:t>
            </w:r>
          </w:p>
        </w:tc>
        <w:tc>
          <w:tcPr>
            <w:tcW w:w="3087" w:type="dxa"/>
          </w:tcPr>
          <w:p w14:paraId="789A8C3D" w14:textId="77777777" w:rsidR="003300F2" w:rsidRPr="00A92CED" w:rsidRDefault="003300F2" w:rsidP="00B811AC">
            <w:pPr>
              <w:rPr>
                <w:lang w:val="fr-CA"/>
              </w:rPr>
            </w:pPr>
          </w:p>
        </w:tc>
      </w:tr>
      <w:tr w:rsidR="00A92CED" w:rsidRPr="00A92CED" w14:paraId="7B162996" w14:textId="1B99FA7D" w:rsidTr="00F47EB0">
        <w:tc>
          <w:tcPr>
            <w:tcW w:w="17147" w:type="dxa"/>
            <w:gridSpan w:val="6"/>
            <w:shd w:val="clear" w:color="auto" w:fill="D9D9D9" w:themeFill="background1" w:themeFillShade="D9"/>
          </w:tcPr>
          <w:p w14:paraId="7D2B47C7" w14:textId="64B0A4F6" w:rsidR="003300F2" w:rsidRPr="00A92CED" w:rsidRDefault="003300F2" w:rsidP="00B811AC">
            <w:pPr>
              <w:spacing w:before="60" w:after="60"/>
              <w:jc w:val="center"/>
              <w:rPr>
                <w:rFonts w:ascii="Arial" w:hAnsi="Arial" w:cs="Arial"/>
                <w:b/>
                <w:sz w:val="24"/>
                <w:szCs w:val="24"/>
                <w:lang w:val="fr-CA"/>
              </w:rPr>
            </w:pPr>
            <w:r w:rsidRPr="00A92CED">
              <w:rPr>
                <w:rFonts w:ascii="Arial" w:hAnsi="Arial" w:cs="Arial"/>
                <w:b/>
                <w:sz w:val="24"/>
                <w:szCs w:val="24"/>
                <w:lang w:val="fr-CA"/>
              </w:rPr>
              <w:t>PARTIE 8 – Vérification</w:t>
            </w:r>
          </w:p>
        </w:tc>
      </w:tr>
      <w:tr w:rsidR="00A92CED" w:rsidRPr="00A92CED" w14:paraId="00DF2BF1" w14:textId="77777777" w:rsidTr="00E10233">
        <w:tc>
          <w:tcPr>
            <w:tcW w:w="3126" w:type="dxa"/>
          </w:tcPr>
          <w:p w14:paraId="4C025052" w14:textId="77777777" w:rsidR="003300F2" w:rsidRPr="00A92CED" w:rsidRDefault="003300F2" w:rsidP="00B811AC">
            <w:pPr>
              <w:pStyle w:val="ListParagraph"/>
              <w:numPr>
                <w:ilvl w:val="0"/>
                <w:numId w:val="1"/>
              </w:numPr>
              <w:jc w:val="center"/>
              <w:rPr>
                <w:lang w:val="fr-CA"/>
              </w:rPr>
            </w:pPr>
          </w:p>
        </w:tc>
        <w:tc>
          <w:tcPr>
            <w:tcW w:w="3715" w:type="dxa"/>
          </w:tcPr>
          <w:p w14:paraId="0FD0349B" w14:textId="6E8C3CB2" w:rsidR="003300F2" w:rsidRPr="00A92CED" w:rsidRDefault="003300F2" w:rsidP="00B811AC">
            <w:pPr>
              <w:rPr>
                <w:rFonts w:ascii="Calibri" w:hAnsi="Calibri" w:cs="Calibri"/>
                <w:lang w:val="fr-CA"/>
              </w:rPr>
            </w:pPr>
            <w:r w:rsidRPr="00A92CED">
              <w:rPr>
                <w:rFonts w:ascii="Calibri" w:hAnsi="Calibri" w:cs="Calibri"/>
                <w:b/>
                <w:bCs/>
                <w:lang w:val="fr-CA"/>
              </w:rPr>
              <w:t xml:space="preserve">174 </w:t>
            </w:r>
            <w:r w:rsidRPr="00A92CED">
              <w:rPr>
                <w:rFonts w:ascii="Calibri" w:hAnsi="Calibri" w:cs="Calibri"/>
                <w:lang w:val="fr-CA"/>
              </w:rPr>
              <w:t>La présente partie énonce les exigences de vérification applicables aux personnes qui ont accès à des explosifs à risque élevé. La section 1 énonce les exigences visant les demandeurs de licence, de permis ou de certificat qui souhaitent *fabriquer, stocker, importer, exporter ou transporter en transit des explosifs à risque élevé. La section 2 énonce les responsabilités visant les titulaires de licence, de permis et de certificat quant au contrôle de l’accès à des explosifs à risque élevé, ainsi que les exigences relatives à l’obtention de lettres d’approbation.</w:t>
            </w:r>
          </w:p>
        </w:tc>
        <w:tc>
          <w:tcPr>
            <w:tcW w:w="4076" w:type="dxa"/>
          </w:tcPr>
          <w:p w14:paraId="417ED77B" w14:textId="7383FA08" w:rsidR="003300F2" w:rsidRPr="00A92CED" w:rsidRDefault="003300F2" w:rsidP="00B811AC">
            <w:pPr>
              <w:pStyle w:val="paragraph"/>
              <w:shd w:val="clear" w:color="auto" w:fill="FFFFFF"/>
              <w:spacing w:before="0" w:beforeAutospacing="0" w:after="0" w:afterAutospacing="0"/>
              <w:rPr>
                <w:rFonts w:asciiTheme="minorHAnsi" w:hAnsiTheme="minorHAnsi" w:cstheme="minorHAnsi"/>
                <w:sz w:val="22"/>
                <w:szCs w:val="22"/>
                <w:lang w:val="fr-CA"/>
              </w:rPr>
            </w:pPr>
            <w:r w:rsidRPr="00A92CED">
              <w:rPr>
                <w:rFonts w:asciiTheme="minorHAnsi" w:hAnsiTheme="minorHAnsi" w:cstheme="minorHAnsi"/>
                <w:sz w:val="22"/>
                <w:szCs w:val="22"/>
                <w:lang w:val="fr-CA"/>
              </w:rPr>
              <w:t>Modifier la deuxième phrase de l’article 174 pour préciser que la section 1 énonce les exigences visant les demandeurs de licence, de permis ou de certificat qui souhaitent fabriquer, stocker, transporter, importer, exporter ou transporter en transit des explosifs à risque élevé.</w:t>
            </w:r>
          </w:p>
        </w:tc>
        <w:tc>
          <w:tcPr>
            <w:tcW w:w="3143" w:type="dxa"/>
            <w:gridSpan w:val="2"/>
          </w:tcPr>
          <w:p w14:paraId="3A1D53DD" w14:textId="320E3F94" w:rsidR="003300F2" w:rsidRPr="00A92CED" w:rsidRDefault="003300F2" w:rsidP="00B811AC">
            <w:pPr>
              <w:rPr>
                <w:lang w:val="fr-CA"/>
              </w:rPr>
            </w:pPr>
            <w:r w:rsidRPr="00A92CED">
              <w:rPr>
                <w:rFonts w:cstheme="minorHAnsi"/>
                <w:lang w:val="fr-CA"/>
              </w:rPr>
              <w:t>Cet amendement proposé ajouterait « transporter » à la liste des activités pour lesquelles les demandeurs de licence, de permis ou de certificat doivent satisfaire aux exigences de la section 1 de la partie 8. Cela appuierait les amendements proposés pour ajouter une exigence de permis de transport à la partie 9 du Règlement. En vertu des amendements proposés concernant le permis de transport, des lettres d’approbation seraient exigées pour les employés des titulaires de permis de transport.</w:t>
            </w:r>
          </w:p>
        </w:tc>
        <w:tc>
          <w:tcPr>
            <w:tcW w:w="3087" w:type="dxa"/>
          </w:tcPr>
          <w:p w14:paraId="12271862" w14:textId="77777777" w:rsidR="003300F2" w:rsidRPr="00A92CED" w:rsidRDefault="003300F2" w:rsidP="00B811AC">
            <w:pPr>
              <w:rPr>
                <w:lang w:val="fr-CA"/>
              </w:rPr>
            </w:pPr>
          </w:p>
        </w:tc>
      </w:tr>
      <w:tr w:rsidR="00A92CED" w:rsidRPr="00A92CED" w14:paraId="7E37E075" w14:textId="77777777" w:rsidTr="00E10233">
        <w:tc>
          <w:tcPr>
            <w:tcW w:w="3126" w:type="dxa"/>
          </w:tcPr>
          <w:p w14:paraId="6C21E73F" w14:textId="77777777" w:rsidR="003300F2" w:rsidRPr="00A92CED" w:rsidRDefault="003300F2" w:rsidP="002F218C">
            <w:pPr>
              <w:pStyle w:val="ListParagraph"/>
              <w:numPr>
                <w:ilvl w:val="0"/>
                <w:numId w:val="1"/>
              </w:numPr>
              <w:jc w:val="center"/>
              <w:rPr>
                <w:lang w:val="fr-CA"/>
              </w:rPr>
            </w:pPr>
          </w:p>
        </w:tc>
        <w:tc>
          <w:tcPr>
            <w:tcW w:w="3715" w:type="dxa"/>
          </w:tcPr>
          <w:p w14:paraId="7E21081D" w14:textId="7C0D3450" w:rsidR="003300F2" w:rsidRPr="00A92CED" w:rsidRDefault="003300F2" w:rsidP="002F218C">
            <w:pPr>
              <w:rPr>
                <w:rFonts w:ascii="Calibri" w:hAnsi="Calibri" w:cs="Calibri"/>
                <w:lang w:val="fr-CA"/>
              </w:rPr>
            </w:pPr>
            <w:r w:rsidRPr="00A92CED">
              <w:rPr>
                <w:rFonts w:ascii="Calibri" w:hAnsi="Calibri" w:cs="Calibri"/>
                <w:b/>
                <w:bCs/>
                <w:lang w:val="fr-CA"/>
              </w:rPr>
              <w:t xml:space="preserve">175 </w:t>
            </w:r>
            <w:r w:rsidRPr="00A92CED">
              <w:rPr>
                <w:rFonts w:ascii="Calibri" w:hAnsi="Calibri" w:cs="Calibri"/>
                <w:lang w:val="fr-CA"/>
              </w:rPr>
              <w:t>(1) Les définitions qui suivent s’appliquent à la présente partie.</w:t>
            </w:r>
          </w:p>
          <w:p w14:paraId="46A261CB" w14:textId="77777777" w:rsidR="003300F2" w:rsidRPr="00A92CED" w:rsidRDefault="003300F2" w:rsidP="002F218C">
            <w:pPr>
              <w:rPr>
                <w:rFonts w:ascii="Calibri" w:hAnsi="Calibri" w:cs="Calibri"/>
                <w:b/>
                <w:bCs/>
                <w:lang w:val="fr-CA"/>
              </w:rPr>
            </w:pPr>
          </w:p>
          <w:p w14:paraId="5FD0C540" w14:textId="1426BC36" w:rsidR="003300F2" w:rsidRPr="00A92CED" w:rsidRDefault="003300F2" w:rsidP="002F218C">
            <w:pPr>
              <w:ind w:left="720"/>
              <w:rPr>
                <w:rFonts w:ascii="Calibri" w:hAnsi="Calibri" w:cs="Calibri"/>
                <w:lang w:val="fr-CA"/>
              </w:rPr>
            </w:pPr>
            <w:r w:rsidRPr="00A92CED">
              <w:rPr>
                <w:rFonts w:ascii="Calibri" w:hAnsi="Calibri" w:cs="Calibri"/>
                <w:b/>
                <w:bCs/>
                <w:i/>
                <w:iCs/>
                <w:lang w:val="fr-CA"/>
              </w:rPr>
              <w:lastRenderedPageBreak/>
              <w:t xml:space="preserve">document équivalent </w:t>
            </w:r>
            <w:r w:rsidRPr="00A92CED">
              <w:rPr>
                <w:rFonts w:ascii="Calibri" w:hAnsi="Calibri" w:cs="Calibri"/>
                <w:lang w:val="fr-CA"/>
              </w:rPr>
              <w:t>L’un des documents suivants :</w:t>
            </w:r>
            <w:r w:rsidRPr="00A92CED">
              <w:rPr>
                <w:rFonts w:ascii="Calibri" w:hAnsi="Calibri" w:cs="Calibri"/>
                <w:lang w:val="fr-CA"/>
              </w:rPr>
              <w:br/>
              <w:t xml:space="preserve">a) permis général délivré en vertu de la </w:t>
            </w:r>
            <w:r w:rsidRPr="00A92CED">
              <w:rPr>
                <w:rFonts w:ascii="Calibri" w:hAnsi="Calibri" w:cs="Calibri"/>
                <w:i/>
                <w:iCs/>
                <w:lang w:val="fr-CA"/>
              </w:rPr>
              <w:t xml:space="preserve">Loi sur les explosifs </w:t>
            </w:r>
            <w:r w:rsidRPr="00A92CED">
              <w:rPr>
                <w:rFonts w:ascii="Calibri" w:hAnsi="Calibri" w:cs="Calibri"/>
                <w:lang w:val="fr-CA"/>
              </w:rPr>
              <w:t>de la province de Québec, avec ses modifications successives;</w:t>
            </w:r>
            <w:r w:rsidRPr="00A92CED">
              <w:rPr>
                <w:rFonts w:ascii="Calibri" w:hAnsi="Calibri" w:cs="Calibri"/>
                <w:lang w:val="fr-CA"/>
              </w:rPr>
              <w:br/>
              <w:t>b) carte EXPRES (expéditions rapides et sécuritaires)</w:t>
            </w:r>
            <w:r w:rsidRPr="00A92CED">
              <w:rPr>
                <w:rFonts w:ascii="Calibri" w:hAnsi="Calibri" w:cs="Calibri"/>
                <w:lang w:val="fr-CA"/>
              </w:rPr>
              <w:br/>
              <w:t>délivrée par l’Agence des services frontaliers du Canada;</w:t>
            </w:r>
            <w:r w:rsidRPr="00A92CED">
              <w:rPr>
                <w:rFonts w:ascii="Calibri" w:hAnsi="Calibri" w:cs="Calibri"/>
                <w:lang w:val="fr-CA"/>
              </w:rPr>
              <w:br/>
              <w:t>c) carte NEXUS délivrée par l’Agence des services</w:t>
            </w:r>
            <w:r w:rsidRPr="00A92CED">
              <w:rPr>
                <w:rFonts w:ascii="Calibri" w:hAnsi="Calibri" w:cs="Calibri"/>
                <w:lang w:val="fr-CA"/>
              </w:rPr>
              <w:br/>
              <w:t>frontaliers du Canada;</w:t>
            </w:r>
            <w:r w:rsidRPr="00A92CED">
              <w:rPr>
                <w:rFonts w:ascii="Calibri" w:hAnsi="Calibri" w:cs="Calibri"/>
                <w:lang w:val="fr-CA"/>
              </w:rPr>
              <w:br/>
              <w:t>d)</w:t>
            </w:r>
            <w:r w:rsidRPr="00A92CED">
              <w:rPr>
                <w:rFonts w:ascii="Calibri" w:hAnsi="Calibri" w:cs="Calibri"/>
                <w:b/>
                <w:bCs/>
                <w:lang w:val="fr-CA"/>
              </w:rPr>
              <w:t xml:space="preserve"> </w:t>
            </w:r>
            <w:r w:rsidRPr="00A92CED">
              <w:rPr>
                <w:rFonts w:ascii="Calibri" w:hAnsi="Calibri" w:cs="Calibri"/>
                <w:lang w:val="fr-CA"/>
              </w:rPr>
              <w:t xml:space="preserve">permis de possession et d’acquisition d’armes à feu délivré en vertu de la </w:t>
            </w:r>
            <w:r w:rsidRPr="00A92CED">
              <w:rPr>
                <w:rFonts w:ascii="Calibri" w:hAnsi="Calibri" w:cs="Calibri"/>
                <w:i/>
                <w:iCs/>
                <w:lang w:val="fr-CA"/>
              </w:rPr>
              <w:t>Loi sur les armes à feu</w:t>
            </w:r>
            <w:r w:rsidRPr="00A92CED">
              <w:rPr>
                <w:rFonts w:ascii="Calibri" w:hAnsi="Calibri" w:cs="Calibri"/>
                <w:lang w:val="fr-CA"/>
              </w:rPr>
              <w:t>;</w:t>
            </w:r>
          </w:p>
          <w:p w14:paraId="6BB14ED3" w14:textId="686CCE6D" w:rsidR="003300F2" w:rsidRPr="00A92CED" w:rsidRDefault="003300F2" w:rsidP="002F218C">
            <w:pPr>
              <w:ind w:left="720"/>
              <w:rPr>
                <w:rFonts w:ascii="Calibri" w:hAnsi="Calibri" w:cs="Calibri"/>
                <w:b/>
                <w:bCs/>
                <w:lang w:val="fr-CA"/>
              </w:rPr>
            </w:pPr>
            <w:r w:rsidRPr="00A92CED">
              <w:rPr>
                <w:rFonts w:ascii="Calibri" w:hAnsi="Calibri" w:cs="Calibri"/>
                <w:lang w:val="fr-CA"/>
              </w:rPr>
              <w:t>e)</w:t>
            </w:r>
            <w:r w:rsidRPr="00A92CED">
              <w:rPr>
                <w:rFonts w:ascii="Calibri" w:hAnsi="Calibri" w:cs="Calibri"/>
                <w:b/>
                <w:bCs/>
                <w:lang w:val="fr-CA"/>
              </w:rPr>
              <w:t xml:space="preserve"> </w:t>
            </w:r>
            <w:r w:rsidRPr="00A92CED">
              <w:rPr>
                <w:rFonts w:ascii="Calibri" w:hAnsi="Calibri" w:cs="Calibri"/>
                <w:lang w:val="fr-CA"/>
              </w:rPr>
              <w:t>une attestation de sécurité délivrée par Services publics et Approvisionnement Canada à des personnes physiques travaillant pour des organisations ou pour</w:t>
            </w:r>
            <w:r w:rsidRPr="00A92CED">
              <w:rPr>
                <w:rFonts w:ascii="Calibri" w:hAnsi="Calibri" w:cs="Calibri"/>
                <w:lang w:val="fr-CA"/>
              </w:rPr>
              <w:br/>
              <w:t>leur compte qui sont inscrites au Programme de sécurité des contrats. (</w:t>
            </w:r>
            <w:r w:rsidRPr="00A92CED">
              <w:rPr>
                <w:rFonts w:ascii="Calibri" w:hAnsi="Calibri" w:cs="Calibri"/>
                <w:i/>
                <w:iCs/>
                <w:lang w:val="fr-CA"/>
              </w:rPr>
              <w:t>equivalent document</w:t>
            </w:r>
            <w:r w:rsidRPr="00A92CED">
              <w:rPr>
                <w:rFonts w:ascii="Calibri" w:hAnsi="Calibri" w:cs="Calibri"/>
                <w:lang w:val="fr-CA"/>
              </w:rPr>
              <w:t>)</w:t>
            </w:r>
          </w:p>
        </w:tc>
        <w:tc>
          <w:tcPr>
            <w:tcW w:w="4076" w:type="dxa"/>
          </w:tcPr>
          <w:p w14:paraId="5D36B99C" w14:textId="36B9681B" w:rsidR="003300F2" w:rsidRPr="00A92CED" w:rsidRDefault="003300F2" w:rsidP="002F218C">
            <w:pPr>
              <w:rPr>
                <w:lang w:val="fr-CA"/>
              </w:rPr>
            </w:pPr>
            <w:r w:rsidRPr="00A92CED">
              <w:rPr>
                <w:lang w:val="fr-CA"/>
              </w:rPr>
              <w:lastRenderedPageBreak/>
              <w:t>Modifier le paragraphe 175(1) pour ajouter ce qui suit à la définition d’un « document équivalent » :</w:t>
            </w:r>
          </w:p>
          <w:p w14:paraId="66811B2C" w14:textId="77777777" w:rsidR="003300F2" w:rsidRPr="00A92CED" w:rsidRDefault="003300F2" w:rsidP="002F218C">
            <w:pPr>
              <w:pStyle w:val="ListParagraph"/>
              <w:numPr>
                <w:ilvl w:val="0"/>
                <w:numId w:val="21"/>
              </w:numPr>
              <w:contextualSpacing w:val="0"/>
              <w:rPr>
                <w:lang w:val="fr-CA"/>
              </w:rPr>
            </w:pPr>
            <w:r w:rsidRPr="00A92CED">
              <w:rPr>
                <w:lang w:val="fr-CA"/>
              </w:rPr>
              <w:lastRenderedPageBreak/>
              <w:t>Une attestation de sécurité délivrée par le gouvernement du Canada aux personnes qui travaillent comme employés du gouvernement du Canada et qui auraient accès à un explosif à risque élevé dans le cadre de leur travail.</w:t>
            </w:r>
          </w:p>
          <w:p w14:paraId="0C29E712" w14:textId="03369032" w:rsidR="003300F2" w:rsidRPr="00A92CED" w:rsidRDefault="003300F2" w:rsidP="002F218C">
            <w:pPr>
              <w:pStyle w:val="ListParagraph"/>
              <w:numPr>
                <w:ilvl w:val="0"/>
                <w:numId w:val="21"/>
              </w:numPr>
              <w:contextualSpacing w:val="0"/>
              <w:rPr>
                <w:lang w:val="fr-CA"/>
              </w:rPr>
            </w:pPr>
            <w:r w:rsidRPr="00A92CED">
              <w:rPr>
                <w:lang w:val="fr-CA"/>
              </w:rPr>
              <w:t>Une attestation de sécurité du personnel délivrée aux membres d’un organisme d’application de la loi qui auraient accès à un explosif à risque élevé dans le cadre de leur travail.</w:t>
            </w:r>
          </w:p>
        </w:tc>
        <w:tc>
          <w:tcPr>
            <w:tcW w:w="3143" w:type="dxa"/>
            <w:gridSpan w:val="2"/>
          </w:tcPr>
          <w:p w14:paraId="3E925F1A" w14:textId="122FFD51" w:rsidR="003300F2" w:rsidRPr="00A92CED" w:rsidRDefault="003300F2" w:rsidP="002F218C">
            <w:pPr>
              <w:rPr>
                <w:rFonts w:ascii="Calibri" w:hAnsi="Calibri" w:cs="Calibri"/>
                <w:lang w:val="fr-CA"/>
              </w:rPr>
            </w:pPr>
            <w:r w:rsidRPr="00A92CED">
              <w:rPr>
                <w:lang w:val="fr-CA"/>
              </w:rPr>
              <w:lastRenderedPageBreak/>
              <w:t xml:space="preserve">Cette proposition de modification a pour but d’élargir la liste des « documents équivalents » pour y inclure les </w:t>
            </w:r>
            <w:r w:rsidRPr="00A92CED">
              <w:rPr>
                <w:lang w:val="fr-CA"/>
              </w:rPr>
              <w:lastRenderedPageBreak/>
              <w:t>fonctionnaires qui ont accès à des explosifs à risque élevé dans le cadre de leur travail dans les cas où un ministère fédéral est titulaire d’une licence. Cette proposition de modification viserait également les membres des organismes d’application de la loi qui sont déjà soumis à une vérification de sécurité dans le cadre de leur emploi et ont accès à des explosifs à risque élevé dans le cadre de leur travail dans les cas où l’organisme d’application de la loi est titulaire d’une licence.  </w:t>
            </w:r>
          </w:p>
        </w:tc>
        <w:tc>
          <w:tcPr>
            <w:tcW w:w="3087" w:type="dxa"/>
          </w:tcPr>
          <w:p w14:paraId="10573FD1" w14:textId="77777777" w:rsidR="003300F2" w:rsidRPr="00A92CED" w:rsidRDefault="003300F2" w:rsidP="002F218C">
            <w:pPr>
              <w:rPr>
                <w:lang w:val="fr-CA"/>
              </w:rPr>
            </w:pPr>
          </w:p>
        </w:tc>
      </w:tr>
      <w:tr w:rsidR="00A92CED" w:rsidRPr="00A92CED" w14:paraId="39A00872" w14:textId="006D8A3E" w:rsidTr="00E10233">
        <w:tc>
          <w:tcPr>
            <w:tcW w:w="3126" w:type="dxa"/>
          </w:tcPr>
          <w:p w14:paraId="4114BD3E" w14:textId="77777777" w:rsidR="003300F2" w:rsidRPr="00A92CED" w:rsidRDefault="003300F2" w:rsidP="00B811AC">
            <w:pPr>
              <w:pStyle w:val="ListParagraph"/>
              <w:numPr>
                <w:ilvl w:val="0"/>
                <w:numId w:val="1"/>
              </w:numPr>
              <w:jc w:val="center"/>
              <w:rPr>
                <w:lang w:val="fr-CA"/>
              </w:rPr>
            </w:pPr>
          </w:p>
        </w:tc>
        <w:tc>
          <w:tcPr>
            <w:tcW w:w="3715" w:type="dxa"/>
          </w:tcPr>
          <w:p w14:paraId="32C373A8" w14:textId="1DC2D7D2" w:rsidR="003300F2" w:rsidRPr="00A92CED" w:rsidRDefault="003300F2" w:rsidP="00B811AC">
            <w:pPr>
              <w:rPr>
                <w:rFonts w:ascii="Calibri" w:hAnsi="Calibri" w:cs="Calibri"/>
                <w:lang w:val="fr-CA"/>
              </w:rPr>
            </w:pPr>
            <w:r w:rsidRPr="00A92CED">
              <w:rPr>
                <w:rFonts w:ascii="Calibri" w:hAnsi="Calibri" w:cs="Calibri"/>
                <w:b/>
                <w:bCs/>
                <w:lang w:val="fr-CA"/>
              </w:rPr>
              <w:t xml:space="preserve">175 </w:t>
            </w:r>
            <w:r w:rsidRPr="00A92CED">
              <w:rPr>
                <w:rFonts w:ascii="Calibri" w:hAnsi="Calibri" w:cs="Calibri"/>
                <w:lang w:val="fr-CA"/>
              </w:rPr>
              <w:t>(1) Les définitions qui suivent s’appliquent à la présente partie.</w:t>
            </w:r>
          </w:p>
          <w:p w14:paraId="0DC67DA6" w14:textId="77777777" w:rsidR="003300F2" w:rsidRPr="00A92CED" w:rsidRDefault="003300F2" w:rsidP="00B811AC">
            <w:pPr>
              <w:rPr>
                <w:rFonts w:ascii="Calibri" w:hAnsi="Calibri" w:cs="Calibri"/>
                <w:lang w:val="fr-CA"/>
              </w:rPr>
            </w:pPr>
          </w:p>
          <w:p w14:paraId="53ACCE1C" w14:textId="441E0770" w:rsidR="003300F2" w:rsidRPr="00A92CED" w:rsidRDefault="003300F2" w:rsidP="00B811AC">
            <w:pPr>
              <w:ind w:left="720"/>
              <w:rPr>
                <w:rFonts w:ascii="Calibri" w:hAnsi="Calibri" w:cs="Calibri"/>
                <w:lang w:val="fr-CA"/>
              </w:rPr>
            </w:pPr>
            <w:r w:rsidRPr="00A92CED">
              <w:rPr>
                <w:rFonts w:ascii="Calibri" w:hAnsi="Calibri" w:cs="Calibri"/>
                <w:b/>
                <w:bCs/>
                <w:i/>
                <w:iCs/>
                <w:lang w:val="fr-CA"/>
              </w:rPr>
              <w:t xml:space="preserve">permis </w:t>
            </w:r>
            <w:r w:rsidRPr="00A92CED">
              <w:rPr>
                <w:rFonts w:ascii="Calibri" w:hAnsi="Calibri" w:cs="Calibri"/>
                <w:lang w:val="fr-CA"/>
              </w:rPr>
              <w:t xml:space="preserve">Permis qui autorise l’importation, l’exportation ou </w:t>
            </w:r>
            <w:r w:rsidRPr="00A92CED">
              <w:rPr>
                <w:rFonts w:ascii="Calibri" w:hAnsi="Calibri" w:cs="Calibri"/>
                <w:lang w:val="fr-CA"/>
              </w:rPr>
              <w:lastRenderedPageBreak/>
              <w:t>le transport en transit d’un explosif à risque élevé. (</w:t>
            </w:r>
            <w:r w:rsidRPr="00A92CED">
              <w:rPr>
                <w:rFonts w:ascii="Calibri" w:hAnsi="Calibri" w:cs="Calibri"/>
                <w:i/>
                <w:iCs/>
                <w:lang w:val="fr-CA"/>
              </w:rPr>
              <w:t>permit</w:t>
            </w:r>
            <w:r w:rsidRPr="00A92CED">
              <w:rPr>
                <w:rFonts w:ascii="Calibri" w:hAnsi="Calibri" w:cs="Calibri"/>
                <w:lang w:val="fr-CA"/>
              </w:rPr>
              <w:t>)</w:t>
            </w:r>
          </w:p>
        </w:tc>
        <w:tc>
          <w:tcPr>
            <w:tcW w:w="4076" w:type="dxa"/>
          </w:tcPr>
          <w:p w14:paraId="5BE0249B" w14:textId="0F79B524" w:rsidR="003300F2" w:rsidRPr="00A92CED" w:rsidRDefault="003300F2" w:rsidP="00194F4F">
            <w:pPr>
              <w:rPr>
                <w:rFonts w:ascii="Calibri" w:hAnsi="Calibri" w:cs="Calibri"/>
                <w:lang w:val="fr-CA"/>
              </w:rPr>
            </w:pPr>
            <w:r w:rsidRPr="00A92CED">
              <w:rPr>
                <w:rFonts w:ascii="Calibri" w:hAnsi="Calibri" w:cs="Calibri"/>
                <w:lang w:val="fr-CA"/>
              </w:rPr>
              <w:lastRenderedPageBreak/>
              <w:t>Modifier le paragraphe 175(1) pour remplacer la définition de « permis » par la définition ci-après :</w:t>
            </w:r>
          </w:p>
          <w:p w14:paraId="40E946B8" w14:textId="77777777" w:rsidR="003300F2" w:rsidRPr="00A92CED" w:rsidRDefault="003300F2" w:rsidP="00194F4F">
            <w:pPr>
              <w:rPr>
                <w:rFonts w:ascii="Calibri" w:hAnsi="Calibri" w:cs="Calibri"/>
                <w:lang w:val="fr-CA"/>
              </w:rPr>
            </w:pPr>
          </w:p>
          <w:p w14:paraId="276BF92A" w14:textId="1DEEE4D4" w:rsidR="003300F2" w:rsidRPr="00A92CED" w:rsidRDefault="003300F2" w:rsidP="00194F4F">
            <w:pPr>
              <w:pStyle w:val="paragraph"/>
              <w:shd w:val="clear" w:color="auto" w:fill="FFFFFF"/>
              <w:spacing w:before="0" w:beforeAutospacing="0" w:after="0" w:afterAutospacing="0"/>
              <w:ind w:left="720"/>
              <w:rPr>
                <w:rFonts w:ascii="Calibri" w:hAnsi="Calibri" w:cs="Calibri"/>
                <w:sz w:val="22"/>
                <w:szCs w:val="22"/>
                <w:lang w:val="fr-CA"/>
              </w:rPr>
            </w:pPr>
            <w:r w:rsidRPr="00A92CED">
              <w:rPr>
                <w:rFonts w:ascii="Calibri" w:hAnsi="Calibri" w:cs="Calibri"/>
                <w:b/>
                <w:bCs/>
                <w:i/>
                <w:iCs/>
                <w:sz w:val="22"/>
                <w:szCs w:val="22"/>
                <w:lang w:val="fr-CA"/>
              </w:rPr>
              <w:lastRenderedPageBreak/>
              <w:t xml:space="preserve">permis </w:t>
            </w:r>
            <w:r w:rsidRPr="00A92CED">
              <w:rPr>
                <w:rFonts w:ascii="Calibri" w:hAnsi="Calibri" w:cs="Calibri"/>
                <w:sz w:val="22"/>
                <w:szCs w:val="22"/>
                <w:lang w:val="fr-CA"/>
              </w:rPr>
              <w:t>Permis qui autorise le transport, l’importation, l’exposition ou le transport en transit d’un explosif à risque élevé. (</w:t>
            </w:r>
            <w:r w:rsidRPr="00A92CED">
              <w:rPr>
                <w:rFonts w:ascii="Calibri" w:hAnsi="Calibri" w:cs="Calibri"/>
                <w:i/>
                <w:iCs/>
                <w:sz w:val="22"/>
                <w:szCs w:val="22"/>
                <w:lang w:val="fr-CA"/>
              </w:rPr>
              <w:t>permit</w:t>
            </w:r>
            <w:r w:rsidRPr="00A92CED">
              <w:rPr>
                <w:rFonts w:ascii="Calibri" w:hAnsi="Calibri" w:cs="Calibri"/>
                <w:sz w:val="22"/>
                <w:szCs w:val="22"/>
                <w:lang w:val="fr-CA"/>
              </w:rPr>
              <w:t>)</w:t>
            </w:r>
          </w:p>
        </w:tc>
        <w:tc>
          <w:tcPr>
            <w:tcW w:w="3143" w:type="dxa"/>
            <w:gridSpan w:val="2"/>
          </w:tcPr>
          <w:p w14:paraId="744296CC" w14:textId="13437E2D" w:rsidR="003300F2" w:rsidRPr="00A92CED" w:rsidRDefault="003300F2" w:rsidP="00B811AC">
            <w:pPr>
              <w:rPr>
                <w:lang w:val="fr-CA"/>
              </w:rPr>
            </w:pPr>
            <w:r w:rsidRPr="00A92CED">
              <w:rPr>
                <w:rFonts w:ascii="Calibri" w:hAnsi="Calibri" w:cs="Calibri"/>
                <w:lang w:val="fr-CA"/>
              </w:rPr>
              <w:lastRenderedPageBreak/>
              <w:t xml:space="preserve">Cet amendement proposé ajouterait le transport à la définition de « permis », au paragraphe 175(1), en vue d’appuyer les amendements </w:t>
            </w:r>
            <w:r w:rsidRPr="00A92CED">
              <w:rPr>
                <w:rFonts w:ascii="Calibri" w:hAnsi="Calibri" w:cs="Calibri"/>
                <w:lang w:val="fr-CA"/>
              </w:rPr>
              <w:lastRenderedPageBreak/>
              <w:t>proposés pour ajouter une exigence de permis de transport à la partie 9 du Règlement.</w:t>
            </w:r>
          </w:p>
        </w:tc>
        <w:tc>
          <w:tcPr>
            <w:tcW w:w="3087" w:type="dxa"/>
          </w:tcPr>
          <w:p w14:paraId="055D2433" w14:textId="77777777" w:rsidR="003300F2" w:rsidRPr="00A92CED" w:rsidRDefault="003300F2" w:rsidP="00B811AC">
            <w:pPr>
              <w:rPr>
                <w:lang w:val="fr-CA"/>
              </w:rPr>
            </w:pPr>
          </w:p>
        </w:tc>
      </w:tr>
      <w:tr w:rsidR="00A92CED" w:rsidRPr="00A92CED" w14:paraId="10A7A93C" w14:textId="61426A6E" w:rsidTr="00F47EB0">
        <w:tc>
          <w:tcPr>
            <w:tcW w:w="17147" w:type="dxa"/>
            <w:gridSpan w:val="6"/>
            <w:shd w:val="clear" w:color="auto" w:fill="F2F2F2" w:themeFill="background1" w:themeFillShade="F2"/>
            <w:vAlign w:val="center"/>
          </w:tcPr>
          <w:p w14:paraId="4BF9E23F" w14:textId="255CDD14" w:rsidR="003300F2" w:rsidRPr="00A92CED" w:rsidRDefault="003300F2" w:rsidP="00B811AC">
            <w:pPr>
              <w:spacing w:before="60" w:after="60"/>
              <w:jc w:val="center"/>
              <w:rPr>
                <w:rFonts w:ascii="Arial" w:hAnsi="Arial" w:cs="Arial"/>
                <w:sz w:val="24"/>
                <w:szCs w:val="24"/>
                <w:lang w:val="fr-CA"/>
              </w:rPr>
            </w:pPr>
            <w:r w:rsidRPr="00A92CED">
              <w:rPr>
                <w:rFonts w:ascii="Arial" w:hAnsi="Arial" w:cs="Arial"/>
                <w:sz w:val="24"/>
                <w:szCs w:val="24"/>
                <w:lang w:val="fr-CA"/>
              </w:rPr>
              <w:t>Section 1 : Demande de licence, de permis ou de certificat</w:t>
            </w:r>
          </w:p>
        </w:tc>
      </w:tr>
      <w:tr w:rsidR="00A92CED" w:rsidRPr="00A92CED" w14:paraId="69D0EE0D" w14:textId="4C697522" w:rsidTr="00E10233">
        <w:tc>
          <w:tcPr>
            <w:tcW w:w="3126" w:type="dxa"/>
          </w:tcPr>
          <w:p w14:paraId="6A752C79" w14:textId="77777777" w:rsidR="003300F2" w:rsidRPr="00A92CED" w:rsidRDefault="003300F2" w:rsidP="00B811AC">
            <w:pPr>
              <w:pStyle w:val="ListParagraph"/>
              <w:numPr>
                <w:ilvl w:val="0"/>
                <w:numId w:val="1"/>
              </w:numPr>
              <w:jc w:val="center"/>
              <w:rPr>
                <w:lang w:val="fr-CA"/>
              </w:rPr>
            </w:pPr>
          </w:p>
        </w:tc>
        <w:tc>
          <w:tcPr>
            <w:tcW w:w="3715" w:type="dxa"/>
          </w:tcPr>
          <w:p w14:paraId="2C380835" w14:textId="43D535D0" w:rsidR="003300F2" w:rsidRPr="00A92CED" w:rsidRDefault="003300F2" w:rsidP="00B811AC">
            <w:pPr>
              <w:rPr>
                <w:rFonts w:ascii="Calibri" w:hAnsi="Calibri" w:cs="Calibri"/>
                <w:b/>
                <w:lang w:val="fr-CA"/>
              </w:rPr>
            </w:pPr>
            <w:r w:rsidRPr="00A92CED">
              <w:rPr>
                <w:rFonts w:ascii="Calibri" w:hAnsi="Calibri" w:cs="Calibri"/>
                <w:b/>
                <w:bCs/>
                <w:lang w:val="fr-CA"/>
              </w:rPr>
              <w:t xml:space="preserve">176 </w:t>
            </w:r>
            <w:r w:rsidRPr="00A92CED">
              <w:rPr>
                <w:rFonts w:ascii="Calibri" w:hAnsi="Calibri" w:cs="Calibri"/>
                <w:lang w:val="fr-CA"/>
              </w:rPr>
              <w:t>(2)</w:t>
            </w:r>
            <w:r w:rsidRPr="00A92CED">
              <w:rPr>
                <w:rFonts w:ascii="Calibri" w:hAnsi="Calibri" w:cs="Calibri"/>
                <w:b/>
                <w:bCs/>
                <w:lang w:val="fr-CA"/>
              </w:rPr>
              <w:t xml:space="preserve"> </w:t>
            </w:r>
            <w:r w:rsidRPr="00A92CED">
              <w:rPr>
                <w:rFonts w:ascii="Calibri" w:hAnsi="Calibri" w:cs="Calibri"/>
                <w:lang w:val="fr-CA"/>
              </w:rPr>
              <w:t>Le demandeur d’une licence, d’un permis ou d’un certificat ou de son renouvellement inclut une liste des employés qui sont tenus, aux termes de la présente partie, d’avoir une lettre d’approbation, ainsi qu’une mention indiquant s’ils ont demandé une telle lettre ou s’ils l’ont reçue.</w:t>
            </w:r>
          </w:p>
        </w:tc>
        <w:tc>
          <w:tcPr>
            <w:tcW w:w="4076" w:type="dxa"/>
          </w:tcPr>
          <w:p w14:paraId="653B1ABF" w14:textId="0B79DE43" w:rsidR="003300F2" w:rsidRPr="00A92CED" w:rsidRDefault="003300F2" w:rsidP="002B6AD6">
            <w:pPr>
              <w:rPr>
                <w:rFonts w:ascii="Calibri" w:hAnsi="Calibri" w:cs="Calibri"/>
                <w:lang w:val="fr-CA"/>
              </w:rPr>
            </w:pPr>
            <w:r w:rsidRPr="00A92CED">
              <w:rPr>
                <w:rFonts w:ascii="Calibri" w:hAnsi="Calibri" w:cs="Calibri"/>
                <w:lang w:val="fr-CA"/>
              </w:rPr>
              <w:t>Modifier le paragraphe 176(2) pour préciser que le demandeur d’une licence, d’un permis ou d’un certificat ou de son renouvellement doit inclure une liste des employés qui sont tenus, aux termes de la présente partie, d’avoir une lettre d’approbation ou un document équivalent. La liste doit indiquer :</w:t>
            </w:r>
          </w:p>
          <w:p w14:paraId="277E000F" w14:textId="3494EB85" w:rsidR="003300F2" w:rsidRPr="00A92CED" w:rsidRDefault="003300F2" w:rsidP="002B6AD6">
            <w:pPr>
              <w:pStyle w:val="ListParagraph"/>
              <w:numPr>
                <w:ilvl w:val="0"/>
                <w:numId w:val="22"/>
              </w:numPr>
              <w:contextualSpacing w:val="0"/>
              <w:rPr>
                <w:rFonts w:ascii="Calibri" w:eastAsia="Times New Roman" w:hAnsi="Calibri" w:cs="Calibri"/>
                <w:lang w:val="fr-CA"/>
              </w:rPr>
            </w:pPr>
            <w:r w:rsidRPr="00A92CED">
              <w:rPr>
                <w:rFonts w:ascii="Calibri" w:eastAsia="Times New Roman" w:hAnsi="Calibri" w:cs="Calibri"/>
                <w:lang w:val="fr-CA"/>
              </w:rPr>
              <w:t>si l’employé a demandé une lettre d’approbation et s’il l’a reçue</w:t>
            </w:r>
            <w:r w:rsidR="00D31FBB" w:rsidRPr="00A92CED">
              <w:rPr>
                <w:rFonts w:ascii="Calibri" w:eastAsia="Times New Roman" w:hAnsi="Calibri" w:cs="Calibri"/>
                <w:lang w:val="fr-CA"/>
              </w:rPr>
              <w:t xml:space="preserve"> et sa durée de validité</w:t>
            </w:r>
            <w:r w:rsidRPr="00A92CED">
              <w:rPr>
                <w:rFonts w:ascii="Calibri" w:eastAsia="Times New Roman" w:hAnsi="Calibri" w:cs="Calibri"/>
                <w:lang w:val="fr-CA"/>
              </w:rPr>
              <w:t>;</w:t>
            </w:r>
          </w:p>
          <w:p w14:paraId="7C9FA275" w14:textId="019D4C34" w:rsidR="003300F2" w:rsidRPr="00A92CED" w:rsidRDefault="003300F2" w:rsidP="002B6AD6">
            <w:pPr>
              <w:pStyle w:val="ListParagraph"/>
              <w:numPr>
                <w:ilvl w:val="0"/>
                <w:numId w:val="22"/>
              </w:numPr>
              <w:contextualSpacing w:val="0"/>
              <w:rPr>
                <w:rFonts w:ascii="Calibri" w:hAnsi="Calibri" w:cs="Calibri"/>
                <w:lang w:val="fr-CA"/>
              </w:rPr>
            </w:pPr>
            <w:r w:rsidRPr="00A92CED">
              <w:rPr>
                <w:rFonts w:ascii="Calibri" w:hAnsi="Calibri" w:cs="Calibri"/>
                <w:lang w:val="fr-CA"/>
              </w:rPr>
              <w:t>si l’employé a un document équivalent, le type de document et sa durée de validité.</w:t>
            </w:r>
          </w:p>
        </w:tc>
        <w:tc>
          <w:tcPr>
            <w:tcW w:w="3143" w:type="dxa"/>
            <w:gridSpan w:val="2"/>
          </w:tcPr>
          <w:p w14:paraId="13284E1B" w14:textId="09133CC1" w:rsidR="003300F2" w:rsidRPr="00A92CED" w:rsidRDefault="003300F2" w:rsidP="00B811AC">
            <w:pPr>
              <w:rPr>
                <w:lang w:val="fr-CA"/>
              </w:rPr>
            </w:pPr>
            <w:r w:rsidRPr="00A92CED">
              <w:rPr>
                <w:rFonts w:ascii="Calibri" w:hAnsi="Calibri" w:cs="Calibri"/>
                <w:lang w:val="fr-CA"/>
              </w:rPr>
              <w:t xml:space="preserve">Cet amendement vise à préciser que les employés peuvent également avoir un document équivalent, et que ces employés et leurs documents doivent également être inclus dans la liste présentée avec la demande de licence. </w:t>
            </w:r>
          </w:p>
        </w:tc>
        <w:tc>
          <w:tcPr>
            <w:tcW w:w="3087" w:type="dxa"/>
          </w:tcPr>
          <w:p w14:paraId="04BF88EC" w14:textId="77777777" w:rsidR="003300F2" w:rsidRPr="00A92CED" w:rsidRDefault="003300F2" w:rsidP="00B811AC">
            <w:pPr>
              <w:rPr>
                <w:lang w:val="fr-CA"/>
              </w:rPr>
            </w:pPr>
          </w:p>
        </w:tc>
      </w:tr>
      <w:tr w:rsidR="00A92CED" w:rsidRPr="00A92CED" w14:paraId="1AF5F721" w14:textId="1B576050" w:rsidTr="00F47EB0">
        <w:tc>
          <w:tcPr>
            <w:tcW w:w="17147" w:type="dxa"/>
            <w:gridSpan w:val="6"/>
            <w:shd w:val="clear" w:color="auto" w:fill="D9D9D9" w:themeFill="background1" w:themeFillShade="D9"/>
          </w:tcPr>
          <w:p w14:paraId="0216A4B3" w14:textId="464D31E7" w:rsidR="003300F2" w:rsidRPr="00A92CED" w:rsidRDefault="003300F2" w:rsidP="00B811AC">
            <w:pPr>
              <w:spacing w:before="60" w:after="60"/>
              <w:jc w:val="center"/>
              <w:rPr>
                <w:rFonts w:ascii="Arial" w:hAnsi="Arial" w:cs="Arial"/>
                <w:b/>
                <w:sz w:val="24"/>
                <w:szCs w:val="24"/>
                <w:lang w:val="fr-CA"/>
              </w:rPr>
            </w:pPr>
            <w:r w:rsidRPr="00A92CED">
              <w:rPr>
                <w:rFonts w:ascii="Arial" w:hAnsi="Arial" w:cs="Arial"/>
                <w:b/>
                <w:sz w:val="24"/>
                <w:szCs w:val="24"/>
                <w:lang w:val="fr-CA"/>
              </w:rPr>
              <w:t>PARTIE 9 – Transport des explosifs</w:t>
            </w:r>
          </w:p>
        </w:tc>
      </w:tr>
      <w:tr w:rsidR="00A92CED" w:rsidRPr="00A92CED" w14:paraId="23E309E2" w14:textId="77777777" w:rsidTr="00E10233">
        <w:tc>
          <w:tcPr>
            <w:tcW w:w="3126" w:type="dxa"/>
          </w:tcPr>
          <w:p w14:paraId="2AA5F27D" w14:textId="77777777" w:rsidR="003300F2" w:rsidRPr="00A92CED" w:rsidRDefault="003300F2" w:rsidP="00B811AC">
            <w:pPr>
              <w:pStyle w:val="ListParagraph"/>
              <w:numPr>
                <w:ilvl w:val="0"/>
                <w:numId w:val="1"/>
              </w:numPr>
              <w:jc w:val="center"/>
              <w:rPr>
                <w:lang w:val="fr-CA"/>
              </w:rPr>
            </w:pPr>
          </w:p>
        </w:tc>
        <w:tc>
          <w:tcPr>
            <w:tcW w:w="3715" w:type="dxa"/>
          </w:tcPr>
          <w:p w14:paraId="117666BA" w14:textId="167B72B6" w:rsidR="003300F2" w:rsidRPr="00A92CED" w:rsidRDefault="003300F2" w:rsidP="00B811AC">
            <w:pPr>
              <w:rPr>
                <w:rFonts w:ascii="Calibri" w:hAnsi="Calibri" w:cs="Calibri"/>
                <w:lang w:val="fr-CA"/>
              </w:rPr>
            </w:pPr>
            <w:r w:rsidRPr="00A92CED">
              <w:rPr>
                <w:rFonts w:ascii="Calibri" w:hAnsi="Calibri" w:cs="Calibri"/>
                <w:b/>
                <w:bCs/>
                <w:lang w:val="fr-CA"/>
              </w:rPr>
              <w:t xml:space="preserve">187 </w:t>
            </w:r>
            <w:r w:rsidRPr="00A92CED">
              <w:rPr>
                <w:rFonts w:ascii="Calibri" w:hAnsi="Calibri" w:cs="Calibri"/>
                <w:lang w:val="fr-CA"/>
              </w:rPr>
              <w:t>Les définitions qui suivent s’appliquent à la présente partie.</w:t>
            </w:r>
          </w:p>
          <w:p w14:paraId="3B5476B5" w14:textId="25FCEBC4" w:rsidR="003300F2" w:rsidRPr="00A92CED" w:rsidRDefault="003300F2" w:rsidP="00B811AC">
            <w:pPr>
              <w:ind w:left="720"/>
              <w:rPr>
                <w:b/>
                <w:lang w:val="fr-CA"/>
              </w:rPr>
            </w:pPr>
            <w:r w:rsidRPr="00A92CED">
              <w:rPr>
                <w:rFonts w:ascii="Calibri" w:hAnsi="Calibri" w:cs="Calibri"/>
                <w:lang w:val="fr-CA"/>
              </w:rPr>
              <w:br/>
            </w:r>
            <w:r w:rsidRPr="00A92CED">
              <w:rPr>
                <w:rFonts w:ascii="Calibri" w:hAnsi="Calibri" w:cs="Calibri"/>
                <w:b/>
                <w:bCs/>
                <w:i/>
                <w:iCs/>
                <w:lang w:val="fr-CA"/>
              </w:rPr>
              <w:t xml:space="preserve">expéditeur </w:t>
            </w:r>
            <w:r w:rsidRPr="00A92CED">
              <w:rPr>
                <w:rFonts w:ascii="Calibri" w:hAnsi="Calibri" w:cs="Calibri"/>
                <w:lang w:val="fr-CA"/>
              </w:rPr>
              <w:t>Personne qui prend des arrangements pour obtenir un transporteur, qui prépare les *explosifs en vue de leur transport et qui les livre au transporteur. (</w:t>
            </w:r>
            <w:r w:rsidRPr="00A92CED">
              <w:rPr>
                <w:rFonts w:ascii="Calibri" w:hAnsi="Calibri" w:cs="Calibri"/>
                <w:i/>
                <w:iCs/>
                <w:lang w:val="fr-CA"/>
              </w:rPr>
              <w:t>shipper</w:t>
            </w:r>
            <w:r w:rsidRPr="00A92CED">
              <w:rPr>
                <w:rFonts w:ascii="Calibri" w:hAnsi="Calibri" w:cs="Calibri"/>
                <w:lang w:val="fr-CA"/>
              </w:rPr>
              <w:t>)</w:t>
            </w:r>
          </w:p>
        </w:tc>
        <w:tc>
          <w:tcPr>
            <w:tcW w:w="4076" w:type="dxa"/>
          </w:tcPr>
          <w:p w14:paraId="672C17D1" w14:textId="41E4A6BD" w:rsidR="003300F2" w:rsidRPr="00A92CED" w:rsidRDefault="003300F2" w:rsidP="00DC298B">
            <w:pPr>
              <w:rPr>
                <w:lang w:val="fr-CA"/>
              </w:rPr>
            </w:pPr>
            <w:r w:rsidRPr="00A92CED">
              <w:rPr>
                <w:lang w:val="fr-CA"/>
              </w:rPr>
              <w:t xml:space="preserve">Modifier l’article 187 pour remplacer la définition du terme </w:t>
            </w:r>
            <w:r w:rsidRPr="00A92CED">
              <w:rPr>
                <w:rFonts w:cstheme="minorHAnsi"/>
                <w:lang w:val="fr-CA"/>
              </w:rPr>
              <w:t>« expéditeur </w:t>
            </w:r>
            <w:r w:rsidRPr="00A92CED">
              <w:rPr>
                <w:rFonts w:ascii="Calibri" w:hAnsi="Calibri" w:cs="Calibri"/>
                <w:lang w:val="fr-CA"/>
              </w:rPr>
              <w:t>» par la définition ci-après :</w:t>
            </w:r>
          </w:p>
          <w:p w14:paraId="219A95FA" w14:textId="77777777" w:rsidR="003300F2" w:rsidRPr="00A92CED" w:rsidRDefault="003300F2" w:rsidP="00DC298B">
            <w:pPr>
              <w:rPr>
                <w:lang w:val="fr-CA"/>
              </w:rPr>
            </w:pPr>
          </w:p>
          <w:p w14:paraId="325ADAAB" w14:textId="6D433350" w:rsidR="003300F2" w:rsidRPr="00A92CED" w:rsidRDefault="003300F2" w:rsidP="00DC298B">
            <w:pPr>
              <w:pStyle w:val="ListParagraph"/>
              <w:rPr>
                <w:lang w:val="fr-CA"/>
              </w:rPr>
            </w:pPr>
            <w:r w:rsidRPr="00A92CED">
              <w:rPr>
                <w:rFonts w:ascii="Calibri" w:hAnsi="Calibri" w:cs="Calibri"/>
                <w:b/>
                <w:bCs/>
                <w:i/>
                <w:iCs/>
                <w:lang w:val="fr-CA"/>
              </w:rPr>
              <w:t>expéditeur</w:t>
            </w:r>
            <w:r w:rsidRPr="00A92CED">
              <w:rPr>
                <w:rFonts w:ascii="Calibri" w:hAnsi="Calibri" w:cs="Calibri"/>
                <w:lang w:val="fr-CA"/>
              </w:rPr>
              <w:t xml:space="preserve"> Personne qui prend des arrangements pour obtenir un transporteur, qui prépare les explosifs en vue de leur transport et qui les cède au transporteur. (</w:t>
            </w:r>
            <w:r w:rsidRPr="00A92CED">
              <w:rPr>
                <w:rFonts w:ascii="Calibri" w:hAnsi="Calibri" w:cs="Calibri"/>
                <w:i/>
                <w:iCs/>
                <w:lang w:val="fr-CA"/>
              </w:rPr>
              <w:t>shipper</w:t>
            </w:r>
            <w:r w:rsidRPr="00A92CED">
              <w:rPr>
                <w:rFonts w:ascii="Calibri" w:hAnsi="Calibri" w:cs="Calibri"/>
                <w:lang w:val="fr-CA"/>
              </w:rPr>
              <w:t>)</w:t>
            </w:r>
          </w:p>
        </w:tc>
        <w:tc>
          <w:tcPr>
            <w:tcW w:w="3143" w:type="dxa"/>
            <w:gridSpan w:val="2"/>
          </w:tcPr>
          <w:p w14:paraId="62838E96" w14:textId="2E6F20A0" w:rsidR="003300F2" w:rsidRPr="00A92CED" w:rsidRDefault="003300F2" w:rsidP="00B811AC">
            <w:pPr>
              <w:rPr>
                <w:lang w:val="fr-CA"/>
              </w:rPr>
            </w:pPr>
            <w:r w:rsidRPr="00A92CED">
              <w:rPr>
                <w:lang w:val="fr-CA"/>
              </w:rPr>
              <w:t xml:space="preserve">Cet amendement proposé visant à remplacer le terme </w:t>
            </w:r>
            <w:r w:rsidRPr="00A92CED">
              <w:rPr>
                <w:rFonts w:cstheme="minorHAnsi"/>
                <w:lang w:val="fr-CA"/>
              </w:rPr>
              <w:t>« livre </w:t>
            </w:r>
            <w:r w:rsidRPr="00A92CED">
              <w:rPr>
                <w:rFonts w:ascii="Calibri" w:hAnsi="Calibri" w:cs="Calibri"/>
                <w:lang w:val="fr-CA"/>
              </w:rPr>
              <w:t xml:space="preserve">» par </w:t>
            </w:r>
            <w:r w:rsidRPr="00A92CED">
              <w:rPr>
                <w:rFonts w:cstheme="minorHAnsi"/>
                <w:lang w:val="fr-CA"/>
              </w:rPr>
              <w:t>« cède </w:t>
            </w:r>
            <w:r w:rsidRPr="00A92CED">
              <w:rPr>
                <w:rFonts w:ascii="Calibri" w:hAnsi="Calibri" w:cs="Calibri"/>
                <w:lang w:val="fr-CA"/>
              </w:rPr>
              <w:t>» dans la définition du terme « expéditeur », à l’article 187, a pour but de préciser que l’expéditeur ne transporterait pas d’explosifs sans licence.</w:t>
            </w:r>
          </w:p>
        </w:tc>
        <w:tc>
          <w:tcPr>
            <w:tcW w:w="3087" w:type="dxa"/>
          </w:tcPr>
          <w:p w14:paraId="6C0200BB" w14:textId="77777777" w:rsidR="003300F2" w:rsidRPr="00A92CED" w:rsidRDefault="003300F2" w:rsidP="00B811AC">
            <w:pPr>
              <w:rPr>
                <w:lang w:val="fr-CA"/>
              </w:rPr>
            </w:pPr>
          </w:p>
        </w:tc>
      </w:tr>
      <w:tr w:rsidR="00A92CED" w:rsidRPr="00A92CED" w14:paraId="244246F2" w14:textId="77777777" w:rsidTr="00E10233">
        <w:tc>
          <w:tcPr>
            <w:tcW w:w="3126" w:type="dxa"/>
          </w:tcPr>
          <w:p w14:paraId="76E4462E" w14:textId="77777777" w:rsidR="003300F2" w:rsidRPr="00A92CED" w:rsidRDefault="003300F2" w:rsidP="00B811AC">
            <w:pPr>
              <w:pStyle w:val="ListParagraph"/>
              <w:numPr>
                <w:ilvl w:val="0"/>
                <w:numId w:val="1"/>
              </w:numPr>
              <w:jc w:val="center"/>
              <w:rPr>
                <w:lang w:val="fr-CA"/>
              </w:rPr>
            </w:pPr>
          </w:p>
        </w:tc>
        <w:tc>
          <w:tcPr>
            <w:tcW w:w="3715" w:type="dxa"/>
          </w:tcPr>
          <w:p w14:paraId="2E6551CA" w14:textId="4DCA87A7" w:rsidR="003300F2" w:rsidRPr="00A92CED" w:rsidRDefault="003300F2" w:rsidP="00B811AC">
            <w:pPr>
              <w:rPr>
                <w:rFonts w:ascii="Calibri" w:hAnsi="Calibri" w:cs="Calibri"/>
                <w:lang w:val="fr-CA"/>
              </w:rPr>
            </w:pPr>
            <w:r w:rsidRPr="00A92CED">
              <w:rPr>
                <w:rFonts w:ascii="Calibri" w:hAnsi="Calibri" w:cs="Calibri"/>
                <w:b/>
                <w:bCs/>
                <w:lang w:val="fr-CA"/>
              </w:rPr>
              <w:t xml:space="preserve">187 </w:t>
            </w:r>
            <w:r w:rsidRPr="00A92CED">
              <w:rPr>
                <w:rFonts w:ascii="Calibri" w:hAnsi="Calibri" w:cs="Calibri"/>
                <w:lang w:val="fr-CA"/>
              </w:rPr>
              <w:t>Les définitions qui suivent s’appliquent à la présente partie.</w:t>
            </w:r>
          </w:p>
        </w:tc>
        <w:tc>
          <w:tcPr>
            <w:tcW w:w="4076" w:type="dxa"/>
          </w:tcPr>
          <w:p w14:paraId="36B679AD" w14:textId="6BC015A7" w:rsidR="003300F2" w:rsidRPr="00A92CED" w:rsidRDefault="003300F2" w:rsidP="00986EF8">
            <w:pPr>
              <w:rPr>
                <w:lang w:val="fr-CA"/>
              </w:rPr>
            </w:pPr>
            <w:r w:rsidRPr="00A92CED">
              <w:rPr>
                <w:lang w:val="fr-CA"/>
              </w:rPr>
              <w:t xml:space="preserve">Modifier l’article 187 pour ajouter la définition ci-après de </w:t>
            </w:r>
            <w:r w:rsidRPr="00A92CED">
              <w:rPr>
                <w:rFonts w:cstheme="minorHAnsi"/>
                <w:lang w:val="fr-CA"/>
              </w:rPr>
              <w:t>« permis </w:t>
            </w:r>
            <w:r w:rsidRPr="00A92CED">
              <w:rPr>
                <w:rFonts w:ascii="Calibri" w:hAnsi="Calibri" w:cs="Calibri"/>
                <w:lang w:val="fr-CA"/>
              </w:rPr>
              <w:t>» :</w:t>
            </w:r>
            <w:r w:rsidRPr="00A92CED">
              <w:rPr>
                <w:lang w:val="fr-CA"/>
              </w:rPr>
              <w:t xml:space="preserve"> </w:t>
            </w:r>
          </w:p>
          <w:p w14:paraId="1166BD7D" w14:textId="77777777" w:rsidR="003300F2" w:rsidRPr="00A92CED" w:rsidRDefault="003300F2" w:rsidP="00986EF8">
            <w:pPr>
              <w:rPr>
                <w:lang w:val="fr-CA"/>
              </w:rPr>
            </w:pPr>
          </w:p>
          <w:p w14:paraId="7FFF8E9E" w14:textId="2E6B07D5" w:rsidR="003300F2" w:rsidRPr="00A92CED" w:rsidRDefault="003300F2" w:rsidP="00986EF8">
            <w:pPr>
              <w:pStyle w:val="ListParagraph"/>
              <w:rPr>
                <w:lang w:val="fr-CA"/>
              </w:rPr>
            </w:pPr>
            <w:r w:rsidRPr="00A92CED">
              <w:rPr>
                <w:b/>
                <w:bCs/>
                <w:i/>
                <w:iCs/>
                <w:lang w:val="fr-CA"/>
              </w:rPr>
              <w:t>permis</w:t>
            </w:r>
            <w:r w:rsidRPr="00A92CED">
              <w:rPr>
                <w:lang w:val="fr-CA"/>
              </w:rPr>
              <w:t xml:space="preserve"> Permis délivré en vertu de l’alinéa 7(1)b) de la </w:t>
            </w:r>
            <w:r w:rsidRPr="00A92CED">
              <w:rPr>
                <w:i/>
                <w:iCs/>
                <w:lang w:val="fr-CA"/>
              </w:rPr>
              <w:t xml:space="preserve">Loi sur les explosifs </w:t>
            </w:r>
            <w:r w:rsidRPr="00A92CED">
              <w:rPr>
                <w:lang w:val="fr-CA"/>
              </w:rPr>
              <w:t xml:space="preserve">et autorisant un transporteur à utiliser un véhicule routier pour transporter des explosifs. </w:t>
            </w:r>
            <w:r w:rsidRPr="00A92CED">
              <w:rPr>
                <w:rFonts w:ascii="Calibri" w:hAnsi="Calibri" w:cs="Calibri"/>
                <w:lang w:val="fr-CA"/>
              </w:rPr>
              <w:t>(</w:t>
            </w:r>
            <w:r w:rsidRPr="00A92CED">
              <w:rPr>
                <w:rFonts w:ascii="Calibri" w:hAnsi="Calibri" w:cs="Calibri"/>
                <w:i/>
                <w:iCs/>
                <w:lang w:val="fr-CA"/>
              </w:rPr>
              <w:t>permit</w:t>
            </w:r>
            <w:r w:rsidRPr="00A92CED">
              <w:rPr>
                <w:rFonts w:ascii="Calibri" w:hAnsi="Calibri" w:cs="Calibri"/>
                <w:lang w:val="fr-CA"/>
              </w:rPr>
              <w:t>)</w:t>
            </w:r>
          </w:p>
        </w:tc>
        <w:tc>
          <w:tcPr>
            <w:tcW w:w="3143" w:type="dxa"/>
            <w:gridSpan w:val="2"/>
          </w:tcPr>
          <w:p w14:paraId="0A0F343E" w14:textId="1A902907" w:rsidR="003300F2" w:rsidRPr="00A92CED" w:rsidRDefault="003300F2" w:rsidP="00B811AC">
            <w:pPr>
              <w:rPr>
                <w:lang w:val="fr-CA"/>
              </w:rPr>
            </w:pPr>
            <w:r w:rsidRPr="00A92CED">
              <w:rPr>
                <w:lang w:val="fr-CA"/>
              </w:rPr>
              <w:t>Cet amendement proposé appuie l’intention de la politique d’ajouter des exigences de permis pour le transport de certains explosifs.</w:t>
            </w:r>
          </w:p>
        </w:tc>
        <w:tc>
          <w:tcPr>
            <w:tcW w:w="3087" w:type="dxa"/>
          </w:tcPr>
          <w:p w14:paraId="0453F748" w14:textId="77777777" w:rsidR="003300F2" w:rsidRPr="00A92CED" w:rsidRDefault="003300F2" w:rsidP="00B811AC">
            <w:pPr>
              <w:rPr>
                <w:lang w:val="fr-CA"/>
              </w:rPr>
            </w:pPr>
          </w:p>
        </w:tc>
      </w:tr>
      <w:tr w:rsidR="00A92CED" w:rsidRPr="00A92CED" w14:paraId="26D67A29" w14:textId="77777777" w:rsidTr="00E10233">
        <w:tc>
          <w:tcPr>
            <w:tcW w:w="3126" w:type="dxa"/>
          </w:tcPr>
          <w:p w14:paraId="58CDB907" w14:textId="77777777" w:rsidR="003300F2" w:rsidRPr="00A92CED" w:rsidRDefault="003300F2" w:rsidP="00B811AC">
            <w:pPr>
              <w:pStyle w:val="ListParagraph"/>
              <w:numPr>
                <w:ilvl w:val="0"/>
                <w:numId w:val="1"/>
              </w:numPr>
              <w:jc w:val="center"/>
              <w:rPr>
                <w:lang w:val="fr-CA"/>
              </w:rPr>
            </w:pPr>
          </w:p>
        </w:tc>
        <w:tc>
          <w:tcPr>
            <w:tcW w:w="3715" w:type="dxa"/>
          </w:tcPr>
          <w:p w14:paraId="67402D23" w14:textId="5D1ADECB" w:rsidR="003300F2" w:rsidRPr="00A92CED" w:rsidRDefault="003300F2" w:rsidP="00B811AC">
            <w:pPr>
              <w:rPr>
                <w:rFonts w:ascii="Calibri" w:hAnsi="Calibri" w:cs="Calibri"/>
                <w:lang w:val="fr-CA"/>
              </w:rPr>
            </w:pPr>
            <w:r w:rsidRPr="00A92CED">
              <w:rPr>
                <w:rFonts w:ascii="Calibri" w:hAnsi="Calibri" w:cs="Calibri"/>
                <w:b/>
                <w:bCs/>
                <w:lang w:val="fr-CA"/>
              </w:rPr>
              <w:t xml:space="preserve">187 </w:t>
            </w:r>
            <w:r w:rsidRPr="00A92CED">
              <w:rPr>
                <w:rFonts w:ascii="Calibri" w:hAnsi="Calibri" w:cs="Calibri"/>
                <w:lang w:val="fr-CA"/>
              </w:rPr>
              <w:t>Les définitions qui suivent s’appliquent à la présente partie.</w:t>
            </w:r>
          </w:p>
        </w:tc>
        <w:tc>
          <w:tcPr>
            <w:tcW w:w="4076" w:type="dxa"/>
          </w:tcPr>
          <w:p w14:paraId="089419B1" w14:textId="7A0BD4A8" w:rsidR="003300F2" w:rsidRPr="00A92CED" w:rsidRDefault="003300F2" w:rsidP="00986EF8">
            <w:pPr>
              <w:rPr>
                <w:lang w:val="fr-CA"/>
              </w:rPr>
            </w:pPr>
            <w:r w:rsidRPr="00A92CED">
              <w:rPr>
                <w:lang w:val="fr-CA"/>
              </w:rPr>
              <w:t xml:space="preserve">Modifier l’article 187 pour ajouter la définition ci-après de </w:t>
            </w:r>
            <w:r w:rsidRPr="00A92CED">
              <w:rPr>
                <w:rFonts w:cstheme="minorHAnsi"/>
                <w:lang w:val="fr-CA"/>
              </w:rPr>
              <w:t>« personne compétente </w:t>
            </w:r>
            <w:r w:rsidRPr="00A92CED">
              <w:rPr>
                <w:rFonts w:ascii="Calibri" w:hAnsi="Calibri" w:cs="Calibri"/>
                <w:lang w:val="fr-CA"/>
              </w:rPr>
              <w:t>» :</w:t>
            </w:r>
            <w:r w:rsidRPr="00A92CED">
              <w:rPr>
                <w:lang w:val="fr-CA"/>
              </w:rPr>
              <w:t xml:space="preserve"> </w:t>
            </w:r>
          </w:p>
          <w:p w14:paraId="34AA4D5B" w14:textId="77777777" w:rsidR="003300F2" w:rsidRPr="00A92CED" w:rsidRDefault="003300F2" w:rsidP="00986EF8">
            <w:pPr>
              <w:rPr>
                <w:lang w:val="fr-CA"/>
              </w:rPr>
            </w:pPr>
          </w:p>
          <w:p w14:paraId="241091A0" w14:textId="32742AB3" w:rsidR="003300F2" w:rsidRPr="00A92CED" w:rsidRDefault="003300F2" w:rsidP="00986EF8">
            <w:pPr>
              <w:pStyle w:val="ListParagraph"/>
              <w:rPr>
                <w:lang w:val="fr-CA"/>
              </w:rPr>
            </w:pPr>
            <w:r w:rsidRPr="00A92CED">
              <w:rPr>
                <w:b/>
                <w:bCs/>
                <w:i/>
                <w:iCs/>
                <w:lang w:val="fr-CA"/>
              </w:rPr>
              <w:t>personne compétente</w:t>
            </w:r>
            <w:r w:rsidRPr="00A92CED">
              <w:rPr>
                <w:lang w:val="fr-CA"/>
              </w:rPr>
              <w:t xml:space="preserve"> Personne qui fait l’objet d’une attestation de formation visée à l’article de la partie 9 qui décrit les exigences en matière de formation. (</w:t>
            </w:r>
            <w:r w:rsidRPr="00A92CED">
              <w:rPr>
                <w:i/>
                <w:iCs/>
                <w:lang w:val="fr-CA"/>
              </w:rPr>
              <w:t>competent person</w:t>
            </w:r>
            <w:r w:rsidRPr="00A92CED">
              <w:rPr>
                <w:lang w:val="fr-CA"/>
              </w:rPr>
              <w:t>)</w:t>
            </w:r>
          </w:p>
        </w:tc>
        <w:tc>
          <w:tcPr>
            <w:tcW w:w="3143" w:type="dxa"/>
            <w:gridSpan w:val="2"/>
          </w:tcPr>
          <w:p w14:paraId="740B9FFE" w14:textId="08614642" w:rsidR="003300F2" w:rsidRPr="00A92CED" w:rsidRDefault="003300F2" w:rsidP="00986EF8">
            <w:pPr>
              <w:rPr>
                <w:lang w:val="fr-CA"/>
              </w:rPr>
            </w:pPr>
            <w:r w:rsidRPr="00A92CED">
              <w:rPr>
                <w:lang w:val="fr-CA"/>
              </w:rPr>
              <w:t xml:space="preserve">Cet amendement proposé appuie l’intention de la politique d’ajouter des exigences en matière de permis de transport à la partie 9 et vise à s’assurer que la formation sur le transport des explosifs est dispensée par une personne compétente. </w:t>
            </w:r>
          </w:p>
          <w:p w14:paraId="7D05C3F6" w14:textId="77777777" w:rsidR="003300F2" w:rsidRPr="00A92CED" w:rsidRDefault="003300F2" w:rsidP="00986EF8">
            <w:pPr>
              <w:rPr>
                <w:lang w:val="fr-CA"/>
              </w:rPr>
            </w:pPr>
          </w:p>
          <w:p w14:paraId="2AAF6EE8" w14:textId="348675FD" w:rsidR="003300F2" w:rsidRPr="00A92CED" w:rsidRDefault="003300F2" w:rsidP="00986EF8">
            <w:pPr>
              <w:rPr>
                <w:lang w:val="fr-CA"/>
              </w:rPr>
            </w:pPr>
            <w:r w:rsidRPr="00A92CED">
              <w:rPr>
                <w:lang w:val="fr-CA"/>
              </w:rPr>
              <w:t xml:space="preserve">L’intention est de remplacer </w:t>
            </w:r>
            <w:r w:rsidRPr="00A92CED">
              <w:rPr>
                <w:rFonts w:cstheme="minorHAnsi"/>
                <w:lang w:val="fr-CA"/>
              </w:rPr>
              <w:t>«</w:t>
            </w:r>
            <w:r w:rsidRPr="00A92CED">
              <w:rPr>
                <w:lang w:val="fr-CA"/>
              </w:rPr>
              <w:t> l’article de la partie 9 qui décrit les exigences en matière de formation </w:t>
            </w:r>
            <w:r w:rsidRPr="00A92CED">
              <w:rPr>
                <w:rFonts w:cstheme="minorHAnsi"/>
                <w:lang w:val="fr-CA"/>
              </w:rPr>
              <w:t>»</w:t>
            </w:r>
            <w:r w:rsidRPr="00A92CED">
              <w:rPr>
                <w:lang w:val="fr-CA"/>
              </w:rPr>
              <w:t xml:space="preserve"> par le numéro d’article énonçant les nouvelles exigences proposées en matière de formation au point 87 du présent document de consultation.</w:t>
            </w:r>
          </w:p>
        </w:tc>
        <w:tc>
          <w:tcPr>
            <w:tcW w:w="3087" w:type="dxa"/>
          </w:tcPr>
          <w:p w14:paraId="273E9492" w14:textId="77777777" w:rsidR="003300F2" w:rsidRPr="00A92CED" w:rsidRDefault="003300F2" w:rsidP="00B811AC">
            <w:pPr>
              <w:rPr>
                <w:lang w:val="fr-CA"/>
              </w:rPr>
            </w:pPr>
          </w:p>
        </w:tc>
      </w:tr>
      <w:tr w:rsidR="00A92CED" w:rsidRPr="00A92CED" w14:paraId="744AF68F" w14:textId="39B90D04" w:rsidTr="00E10233">
        <w:tc>
          <w:tcPr>
            <w:tcW w:w="3126" w:type="dxa"/>
          </w:tcPr>
          <w:p w14:paraId="57D4337D" w14:textId="77777777" w:rsidR="003300F2" w:rsidRPr="00A92CED" w:rsidRDefault="003300F2" w:rsidP="00B811AC">
            <w:pPr>
              <w:pStyle w:val="ListParagraph"/>
              <w:numPr>
                <w:ilvl w:val="0"/>
                <w:numId w:val="1"/>
              </w:numPr>
              <w:jc w:val="center"/>
              <w:rPr>
                <w:lang w:val="fr-CA"/>
              </w:rPr>
            </w:pPr>
          </w:p>
        </w:tc>
        <w:tc>
          <w:tcPr>
            <w:tcW w:w="3715" w:type="dxa"/>
          </w:tcPr>
          <w:p w14:paraId="02C824A5" w14:textId="5D35A57F" w:rsidR="003300F2" w:rsidRPr="00A92CED" w:rsidRDefault="003300F2" w:rsidP="00B811AC">
            <w:pPr>
              <w:rPr>
                <w:b/>
                <w:lang w:val="fr-CA"/>
              </w:rPr>
            </w:pPr>
            <w:r w:rsidRPr="00A92CED">
              <w:rPr>
                <w:b/>
                <w:lang w:val="fr-CA"/>
              </w:rPr>
              <w:t xml:space="preserve">191 </w:t>
            </w:r>
            <w:r w:rsidRPr="00A92CED">
              <w:rPr>
                <w:lang w:val="fr-CA"/>
              </w:rPr>
              <w:t xml:space="preserve">(3.1) (b) au transport de pièces pyrotechniques portant le numéro ONU 0333, ONU 0334, ONU 0335 ou ONU 0336 dans un véhicule remorqué mentionné au paragraphe 191(3) si le conducteur du véhicule de </w:t>
            </w:r>
            <w:r w:rsidRPr="00A92CED">
              <w:rPr>
                <w:lang w:val="fr-CA"/>
              </w:rPr>
              <w:lastRenderedPageBreak/>
              <w:t>remorquage est titulaire d’un certificat de technicien en pyrotechnie (aide-artificier), d’un certificat de technicien en pyrotechnie (artificier) ou d’un certificat de technicien en pyrotechnie (artificier avec mention) et qu’il veille à ce qu’au plus 750 kg d’explosifs soient transportés dans le véhicule remorqué et à ce que des précautions soient prises pour minimiser le balancement des deux véhicules.</w:t>
            </w:r>
          </w:p>
        </w:tc>
        <w:tc>
          <w:tcPr>
            <w:tcW w:w="4076" w:type="dxa"/>
          </w:tcPr>
          <w:p w14:paraId="53328670" w14:textId="3DD26DDE" w:rsidR="003300F2" w:rsidRPr="00A92CED" w:rsidRDefault="003300F2" w:rsidP="00B811AC">
            <w:pPr>
              <w:rPr>
                <w:lang w:val="fr-CA"/>
              </w:rPr>
            </w:pPr>
            <w:r w:rsidRPr="00A92CED">
              <w:rPr>
                <w:lang w:val="fr-CA"/>
              </w:rPr>
              <w:lastRenderedPageBreak/>
              <w:t xml:space="preserve">Modifier l’alinéa 191(3.1)b) pour préciser que le paragraphe 191(3) ne s’applique pas transport de pièces pyrotechniques portant le numéro ONU 0333, ONU 0334, ONU 0335 ou UN 0336 dans un véhicule remorqué si le conducteur du véhicule de </w:t>
            </w:r>
            <w:r w:rsidRPr="00A92CED">
              <w:rPr>
                <w:lang w:val="fr-CA"/>
              </w:rPr>
              <w:lastRenderedPageBreak/>
              <w:t>remorquage est titulaire d’un certificat de technicien en pyrotechnie (artificier) ou d’un certificat de technicien en pyrotechnie (artificier avec mention) ou a terminé avec succès le cours de sensibilisation à la sécurité et aux aspects légaux soulevés par l’utilisation des pièces pyrotechniques à grand déploiement certifié par le ministre et qu’il veille à ce qu’au plus 750 kg d’explosifs soient transportés dans le véhicule remorqué et à ce que des précautions soient prises pour minimiser le balancement des deux véhicules.</w:t>
            </w:r>
          </w:p>
        </w:tc>
        <w:tc>
          <w:tcPr>
            <w:tcW w:w="3143" w:type="dxa"/>
            <w:gridSpan w:val="2"/>
          </w:tcPr>
          <w:p w14:paraId="545C4EE1" w14:textId="1666DB01" w:rsidR="003300F2" w:rsidRPr="00A92CED" w:rsidRDefault="003300F2" w:rsidP="00B811AC">
            <w:pPr>
              <w:rPr>
                <w:lang w:val="fr-CA"/>
              </w:rPr>
            </w:pPr>
            <w:r w:rsidRPr="00A92CED">
              <w:rPr>
                <w:lang w:val="fr-CA"/>
              </w:rPr>
              <w:lastRenderedPageBreak/>
              <w:t xml:space="preserve">Cet amendement proposé appuie l’intention de la politique de supprimer l’obligation pour les aides-artificiers d’obtenir un certificat de RNCan tout en maintenant un niveau de </w:t>
            </w:r>
            <w:r w:rsidRPr="00A92CED">
              <w:rPr>
                <w:lang w:val="fr-CA"/>
              </w:rPr>
              <w:lastRenderedPageBreak/>
              <w:t xml:space="preserve">sécurité équivalent. Cet amendement proposé ne renvoie pas au poste d’aide-artificier, mais plutôt à un conducteur qui </w:t>
            </w:r>
            <w:r w:rsidRPr="00A92CED">
              <w:rPr>
                <w:rFonts w:cstheme="minorHAnsi"/>
                <w:lang w:val="fr-CA"/>
              </w:rPr>
              <w:t xml:space="preserve">« a terminé avec </w:t>
            </w:r>
            <w:r w:rsidRPr="00A92CED">
              <w:rPr>
                <w:lang w:val="fr-CA"/>
              </w:rPr>
              <w:t>succès le cours de sensibilisation à la sécurité et aux aspects légaux soulevés par l’utilisation des pièces pyrotechniques à grand déploiement certifié par le ministre </w:t>
            </w:r>
            <w:r w:rsidRPr="00A92CED">
              <w:rPr>
                <w:rFonts w:ascii="Calibri" w:hAnsi="Calibri" w:cs="Calibri"/>
                <w:lang w:val="fr-CA"/>
              </w:rPr>
              <w:t>». En effet, l’intention de la politique est d’exiger que ce type de conducteur ait suivi cette formation, mais aucune raison de sécurité ne justifie d’exiger que le conducteur ayant suivi cette formation conduise le véhicule remorqué sous la supervision directe d’un artificier.</w:t>
            </w:r>
          </w:p>
        </w:tc>
        <w:tc>
          <w:tcPr>
            <w:tcW w:w="3087" w:type="dxa"/>
          </w:tcPr>
          <w:p w14:paraId="0B352FD2" w14:textId="77777777" w:rsidR="003300F2" w:rsidRPr="00A92CED" w:rsidRDefault="003300F2" w:rsidP="00B811AC">
            <w:pPr>
              <w:rPr>
                <w:lang w:val="fr-CA"/>
              </w:rPr>
            </w:pPr>
          </w:p>
        </w:tc>
      </w:tr>
      <w:tr w:rsidR="00A92CED" w:rsidRPr="00A92CED" w14:paraId="0C4C90A5" w14:textId="77777777" w:rsidTr="00E10233">
        <w:tc>
          <w:tcPr>
            <w:tcW w:w="3126" w:type="dxa"/>
          </w:tcPr>
          <w:p w14:paraId="5CF3A492" w14:textId="77777777" w:rsidR="003300F2" w:rsidRPr="00A92CED" w:rsidRDefault="003300F2" w:rsidP="00B811AC">
            <w:pPr>
              <w:pStyle w:val="ListParagraph"/>
              <w:numPr>
                <w:ilvl w:val="0"/>
                <w:numId w:val="1"/>
              </w:numPr>
              <w:jc w:val="center"/>
              <w:rPr>
                <w:lang w:val="fr-CA"/>
              </w:rPr>
            </w:pPr>
          </w:p>
        </w:tc>
        <w:tc>
          <w:tcPr>
            <w:tcW w:w="3715" w:type="dxa"/>
          </w:tcPr>
          <w:p w14:paraId="07308B5A" w14:textId="4270726D" w:rsidR="003300F2" w:rsidRPr="00A92CED" w:rsidRDefault="003300F2" w:rsidP="00B811AC">
            <w:pPr>
              <w:rPr>
                <w:rFonts w:ascii="Calibri" w:hAnsi="Calibri" w:cs="Calibri"/>
                <w:lang w:val="fr-CA"/>
              </w:rPr>
            </w:pPr>
            <w:r w:rsidRPr="00A92CED">
              <w:rPr>
                <w:rFonts w:ascii="Calibri" w:hAnsi="Calibri" w:cs="Calibri"/>
                <w:b/>
                <w:bCs/>
                <w:lang w:val="fr-CA"/>
              </w:rPr>
              <w:t xml:space="preserve">192 </w:t>
            </w:r>
            <w:r w:rsidRPr="00A92CED">
              <w:rPr>
                <w:rFonts w:ascii="Calibri" w:hAnsi="Calibri" w:cs="Calibri"/>
                <w:lang w:val="fr-CA"/>
              </w:rPr>
              <w:t>(3)</w:t>
            </w:r>
            <w:r w:rsidRPr="00A92CED">
              <w:rPr>
                <w:rFonts w:ascii="Calibri" w:hAnsi="Calibri" w:cs="Calibri"/>
                <w:b/>
                <w:bCs/>
                <w:lang w:val="fr-CA"/>
              </w:rPr>
              <w:t xml:space="preserve"> </w:t>
            </w:r>
            <w:r w:rsidRPr="00A92CED">
              <w:rPr>
                <w:rFonts w:ascii="Calibri" w:hAnsi="Calibri" w:cs="Calibri"/>
                <w:lang w:val="fr-CA"/>
              </w:rPr>
              <w:t>L’expéditeur et le transporteur veillent à ce que des objets autres que des explosifs ne soient pas transportés avec des explosifs, sauf si :</w:t>
            </w:r>
          </w:p>
          <w:p w14:paraId="09FD4D4F" w14:textId="685BA61D" w:rsidR="003300F2" w:rsidRPr="00A92CED" w:rsidRDefault="003300F2" w:rsidP="00B811AC">
            <w:pPr>
              <w:ind w:left="720"/>
              <w:rPr>
                <w:rFonts w:ascii="Calibri" w:hAnsi="Calibri" w:cs="Calibri"/>
                <w:b/>
                <w:lang w:val="fr-CA"/>
              </w:rPr>
            </w:pPr>
            <w:r w:rsidRPr="00A92CED">
              <w:rPr>
                <w:rFonts w:ascii="Calibri" w:hAnsi="Calibri" w:cs="Calibri"/>
                <w:lang w:val="fr-CA"/>
              </w:rPr>
              <w:t>b)</w:t>
            </w:r>
            <w:r w:rsidRPr="00A92CED">
              <w:rPr>
                <w:rFonts w:ascii="Calibri" w:hAnsi="Calibri" w:cs="Calibri"/>
                <w:b/>
                <w:bCs/>
                <w:lang w:val="fr-CA"/>
              </w:rPr>
              <w:t xml:space="preserve"> </w:t>
            </w:r>
            <w:r w:rsidRPr="00A92CED">
              <w:rPr>
                <w:rFonts w:ascii="Calibri" w:hAnsi="Calibri" w:cs="Calibri"/>
                <w:lang w:val="fr-CA"/>
              </w:rPr>
              <w:t xml:space="preserve">dans le cas d’un véhicule qui contient plus de 2 000 kg d’explosifs, le véhicule est autorisé à transporter les objets par un permis délivré par le ministre en vertu de l’alinéa 7(1)b) de la </w:t>
            </w:r>
            <w:r w:rsidRPr="00A92CED">
              <w:rPr>
                <w:rFonts w:ascii="Calibri" w:hAnsi="Calibri" w:cs="Calibri"/>
                <w:i/>
                <w:iCs/>
                <w:lang w:val="fr-CA"/>
              </w:rPr>
              <w:t xml:space="preserve">Loi sur les </w:t>
            </w:r>
            <w:r w:rsidRPr="00A92CED">
              <w:rPr>
                <w:rFonts w:ascii="Calibri" w:hAnsi="Calibri" w:cs="Calibri"/>
                <w:i/>
                <w:iCs/>
                <w:lang w:val="fr-CA"/>
              </w:rPr>
              <w:lastRenderedPageBreak/>
              <w:t xml:space="preserve">explosifs </w:t>
            </w:r>
            <w:r w:rsidRPr="00A92CED">
              <w:rPr>
                <w:rFonts w:ascii="Calibri" w:hAnsi="Calibri" w:cs="Calibri"/>
                <w:lang w:val="fr-CA"/>
              </w:rPr>
              <w:t>et le permis est dans le véhicule.</w:t>
            </w:r>
          </w:p>
        </w:tc>
        <w:tc>
          <w:tcPr>
            <w:tcW w:w="4076" w:type="dxa"/>
          </w:tcPr>
          <w:p w14:paraId="558B8220" w14:textId="72AE2482" w:rsidR="003300F2" w:rsidRPr="00A92CED" w:rsidRDefault="003300F2" w:rsidP="00B811AC">
            <w:pPr>
              <w:rPr>
                <w:lang w:val="fr-CA"/>
              </w:rPr>
            </w:pPr>
            <w:r w:rsidRPr="00A92CED">
              <w:rPr>
                <w:lang w:val="fr-CA"/>
              </w:rPr>
              <w:lastRenderedPageBreak/>
              <w:t>Modifier le paragraphe 192(3) pour supprimer l’alinéa b).</w:t>
            </w:r>
          </w:p>
        </w:tc>
        <w:tc>
          <w:tcPr>
            <w:tcW w:w="3143" w:type="dxa"/>
            <w:gridSpan w:val="2"/>
          </w:tcPr>
          <w:p w14:paraId="640BE8D4" w14:textId="7ED0EF1C" w:rsidR="003300F2" w:rsidRPr="00A92CED" w:rsidRDefault="003300F2" w:rsidP="00B811AC">
            <w:pPr>
              <w:rPr>
                <w:lang w:val="fr-CA"/>
              </w:rPr>
            </w:pPr>
            <w:r w:rsidRPr="00A92CED">
              <w:rPr>
                <w:lang w:val="fr-CA"/>
              </w:rPr>
              <w:t>Cet amendement proposé appuie l’intention de la politique d’ajouter des exigences de permis pour le transport de certains explosifs. Un permit serait exigé pour tout transport de ces explosifs, et pas seulement dans les circonstances visées à l’alinéa 192(3)b).</w:t>
            </w:r>
          </w:p>
        </w:tc>
        <w:tc>
          <w:tcPr>
            <w:tcW w:w="3087" w:type="dxa"/>
          </w:tcPr>
          <w:p w14:paraId="37EFF9BD" w14:textId="77777777" w:rsidR="003300F2" w:rsidRPr="00A92CED" w:rsidRDefault="003300F2" w:rsidP="00B811AC">
            <w:pPr>
              <w:rPr>
                <w:lang w:val="fr-CA"/>
              </w:rPr>
            </w:pPr>
          </w:p>
        </w:tc>
      </w:tr>
      <w:tr w:rsidR="00A92CED" w:rsidRPr="00A92CED" w14:paraId="58B5F277" w14:textId="77777777" w:rsidTr="00E10233">
        <w:tc>
          <w:tcPr>
            <w:tcW w:w="3126" w:type="dxa"/>
          </w:tcPr>
          <w:p w14:paraId="5CC9EAFE" w14:textId="77777777" w:rsidR="003300F2" w:rsidRPr="00A92CED" w:rsidRDefault="003300F2" w:rsidP="00B811AC">
            <w:pPr>
              <w:pStyle w:val="ListParagraph"/>
              <w:numPr>
                <w:ilvl w:val="0"/>
                <w:numId w:val="1"/>
              </w:numPr>
              <w:jc w:val="center"/>
              <w:rPr>
                <w:lang w:val="fr-CA"/>
              </w:rPr>
            </w:pPr>
          </w:p>
        </w:tc>
        <w:tc>
          <w:tcPr>
            <w:tcW w:w="3715" w:type="dxa"/>
          </w:tcPr>
          <w:p w14:paraId="16FE6852" w14:textId="04108476" w:rsidR="003300F2" w:rsidRPr="00A92CED" w:rsidRDefault="003300F2" w:rsidP="00B811AC">
            <w:pPr>
              <w:rPr>
                <w:rFonts w:ascii="Calibri" w:hAnsi="Calibri" w:cs="Calibri"/>
                <w:b/>
                <w:bCs/>
                <w:lang w:val="fr-CA"/>
              </w:rPr>
            </w:pPr>
            <w:r w:rsidRPr="00A92CED">
              <w:rPr>
                <w:rFonts w:ascii="Calibri" w:hAnsi="Calibri" w:cs="Calibri"/>
                <w:b/>
                <w:bCs/>
                <w:lang w:val="fr-CA"/>
              </w:rPr>
              <w:t xml:space="preserve">192 </w:t>
            </w:r>
            <w:r w:rsidRPr="00A92CED">
              <w:rPr>
                <w:rFonts w:ascii="Calibri" w:hAnsi="Calibri" w:cs="Calibri"/>
                <w:lang w:val="fr-CA"/>
              </w:rPr>
              <w:t>(4)</w:t>
            </w:r>
            <w:r w:rsidRPr="00A92CED">
              <w:rPr>
                <w:rFonts w:ascii="Calibri" w:hAnsi="Calibri" w:cs="Calibri"/>
                <w:b/>
                <w:bCs/>
                <w:lang w:val="fr-CA"/>
              </w:rPr>
              <w:t xml:space="preserve"> </w:t>
            </w:r>
            <w:r w:rsidRPr="00A92CED">
              <w:rPr>
                <w:rFonts w:ascii="Calibri" w:hAnsi="Calibri" w:cs="Calibri"/>
                <w:lang w:val="fr-CA"/>
              </w:rPr>
              <w:t>L’expéditeur ou le transporteur qui demande un permis pour transporter des objets non explosifs dans un véhicule qui contiendra des explosifs remplit, signe et fait parvenir à l’inspecteur en chef des explosifs le formulaire de demande fourni par le ministère des Ressources naturelles. La demande contient les renseignements suivants :</w:t>
            </w:r>
          </w:p>
          <w:p w14:paraId="4948F135" w14:textId="57D8CB98" w:rsidR="003300F2" w:rsidRPr="00A92CED" w:rsidRDefault="003300F2" w:rsidP="00B811AC">
            <w:pPr>
              <w:ind w:left="720"/>
              <w:rPr>
                <w:b/>
                <w:lang w:val="fr-CA"/>
              </w:rPr>
            </w:pPr>
            <w:r w:rsidRPr="00A92CED">
              <w:rPr>
                <w:rFonts w:ascii="Calibri" w:hAnsi="Calibri" w:cs="Calibri"/>
                <w:lang w:val="fr-CA"/>
              </w:rPr>
              <w:t>a)</w:t>
            </w:r>
            <w:r w:rsidRPr="00A92CED">
              <w:rPr>
                <w:rFonts w:ascii="Calibri" w:hAnsi="Calibri" w:cs="Calibri"/>
                <w:b/>
                <w:bCs/>
                <w:lang w:val="fr-CA"/>
              </w:rPr>
              <w:t xml:space="preserve"> </w:t>
            </w:r>
            <w:r w:rsidRPr="00A92CED">
              <w:rPr>
                <w:rFonts w:ascii="Calibri" w:hAnsi="Calibri" w:cs="Calibri"/>
                <w:lang w:val="fr-CA"/>
              </w:rPr>
              <w:t>les nom, adresse, numéro de téléphone, numéro de</w:t>
            </w:r>
            <w:r w:rsidRPr="00A92CED">
              <w:rPr>
                <w:rFonts w:ascii="Calibri" w:hAnsi="Calibri" w:cs="Calibri"/>
                <w:lang w:val="fr-CA"/>
              </w:rPr>
              <w:br/>
              <w:t>télécopieur et adresse électronique du demandeur;</w:t>
            </w:r>
            <w:r w:rsidRPr="00A92CED">
              <w:rPr>
                <w:rFonts w:ascii="Calibri" w:hAnsi="Calibri" w:cs="Calibri"/>
                <w:lang w:val="fr-CA"/>
              </w:rPr>
              <w:br/>
              <w:t>b)</w:t>
            </w:r>
            <w:r w:rsidRPr="00A92CED">
              <w:rPr>
                <w:rFonts w:ascii="Calibri" w:hAnsi="Calibri" w:cs="Calibri"/>
                <w:b/>
                <w:bCs/>
                <w:lang w:val="fr-CA"/>
              </w:rPr>
              <w:t xml:space="preserve"> </w:t>
            </w:r>
            <w:r w:rsidRPr="00A92CED">
              <w:rPr>
                <w:rFonts w:ascii="Calibri" w:hAnsi="Calibri" w:cs="Calibri"/>
                <w:lang w:val="fr-CA"/>
              </w:rPr>
              <w:t>une liste des objets non explosifs qui seront transportés avec les explosifs dans le véhicule;</w:t>
            </w:r>
            <w:r w:rsidRPr="00A92CED">
              <w:rPr>
                <w:rFonts w:ascii="Calibri" w:hAnsi="Calibri" w:cs="Calibri"/>
                <w:lang w:val="fr-CA"/>
              </w:rPr>
              <w:br/>
              <w:t>c)</w:t>
            </w:r>
            <w:r w:rsidRPr="00A92CED">
              <w:rPr>
                <w:rFonts w:ascii="Calibri" w:hAnsi="Calibri" w:cs="Calibri"/>
                <w:b/>
                <w:bCs/>
                <w:lang w:val="fr-CA"/>
              </w:rPr>
              <w:t xml:space="preserve"> </w:t>
            </w:r>
            <w:r w:rsidRPr="00A92CED">
              <w:rPr>
                <w:rFonts w:ascii="Calibri" w:hAnsi="Calibri" w:cs="Calibri"/>
                <w:lang w:val="fr-CA"/>
              </w:rPr>
              <w:t>les précautions qui seront prises pour éliminer toute possibilité d’allumage.</w:t>
            </w:r>
          </w:p>
        </w:tc>
        <w:tc>
          <w:tcPr>
            <w:tcW w:w="4076" w:type="dxa"/>
          </w:tcPr>
          <w:p w14:paraId="0E5A5D6B" w14:textId="3EEE3AC0" w:rsidR="003300F2" w:rsidRPr="00A92CED" w:rsidRDefault="003300F2" w:rsidP="00B811AC">
            <w:pPr>
              <w:rPr>
                <w:lang w:val="fr-CA"/>
              </w:rPr>
            </w:pPr>
            <w:r w:rsidRPr="00A92CED">
              <w:rPr>
                <w:lang w:val="fr-CA"/>
              </w:rPr>
              <w:t>Modifier l’article 192 pour supprimer le paragraphe (4).</w:t>
            </w:r>
          </w:p>
        </w:tc>
        <w:tc>
          <w:tcPr>
            <w:tcW w:w="3143" w:type="dxa"/>
            <w:gridSpan w:val="2"/>
          </w:tcPr>
          <w:p w14:paraId="3BBE7936" w14:textId="78478B54" w:rsidR="003300F2" w:rsidRPr="00A92CED" w:rsidRDefault="003300F2" w:rsidP="00B811AC">
            <w:pPr>
              <w:rPr>
                <w:lang w:val="fr-CA"/>
              </w:rPr>
            </w:pPr>
            <w:r w:rsidRPr="00A92CED">
              <w:rPr>
                <w:lang w:val="fr-CA"/>
              </w:rPr>
              <w:t>Cet amendement proposé appuie l’intention de la politique d’ajouter des exigences de permis pour le transport de certains explosifs. L’intention est de supprimer le paragraphe 192(4) et de créer de nouvelles exigences en matière de permis de transport à la partie 9 du Règlement.</w:t>
            </w:r>
          </w:p>
        </w:tc>
        <w:tc>
          <w:tcPr>
            <w:tcW w:w="3087" w:type="dxa"/>
          </w:tcPr>
          <w:p w14:paraId="153CCDF5" w14:textId="77777777" w:rsidR="003300F2" w:rsidRPr="00A92CED" w:rsidRDefault="003300F2" w:rsidP="00B811AC">
            <w:pPr>
              <w:rPr>
                <w:lang w:val="fr-CA"/>
              </w:rPr>
            </w:pPr>
          </w:p>
        </w:tc>
      </w:tr>
      <w:tr w:rsidR="00A92CED" w:rsidRPr="00A92CED" w14:paraId="249D5DFB" w14:textId="77777777" w:rsidTr="00E10233">
        <w:tc>
          <w:tcPr>
            <w:tcW w:w="3126" w:type="dxa"/>
          </w:tcPr>
          <w:p w14:paraId="798759A6" w14:textId="77777777" w:rsidR="003300F2" w:rsidRPr="00A92CED" w:rsidRDefault="003300F2" w:rsidP="00B811AC">
            <w:pPr>
              <w:pStyle w:val="ListParagraph"/>
              <w:numPr>
                <w:ilvl w:val="0"/>
                <w:numId w:val="1"/>
              </w:numPr>
              <w:jc w:val="center"/>
              <w:rPr>
                <w:lang w:val="fr-CA"/>
              </w:rPr>
            </w:pPr>
          </w:p>
        </w:tc>
        <w:tc>
          <w:tcPr>
            <w:tcW w:w="3715" w:type="dxa"/>
          </w:tcPr>
          <w:p w14:paraId="58872060" w14:textId="210374AD" w:rsidR="003300F2" w:rsidRPr="00A92CED" w:rsidRDefault="003300F2" w:rsidP="00B811AC">
            <w:pPr>
              <w:rPr>
                <w:b/>
                <w:lang w:val="fr-CA"/>
              </w:rPr>
            </w:pPr>
            <w:r w:rsidRPr="00A92CED">
              <w:rPr>
                <w:b/>
                <w:lang w:val="fr-CA"/>
              </w:rPr>
              <w:t>NOUVEAU</w:t>
            </w:r>
          </w:p>
        </w:tc>
        <w:tc>
          <w:tcPr>
            <w:tcW w:w="4076" w:type="dxa"/>
          </w:tcPr>
          <w:p w14:paraId="7A587236" w14:textId="77777777" w:rsidR="00D31FBB" w:rsidRPr="00A92CED" w:rsidRDefault="003300F2" w:rsidP="00D31FBB">
            <w:pPr>
              <w:rPr>
                <w:lang w:val="fr-CA"/>
              </w:rPr>
            </w:pPr>
            <w:r w:rsidRPr="00A92CED">
              <w:rPr>
                <w:lang w:val="fr-CA"/>
              </w:rPr>
              <w:t>Modifier la partie 9 pour ajouter les nouvelles exigences ci-après pour les permis de transport</w:t>
            </w:r>
            <w:r w:rsidR="00D31FBB" w:rsidRPr="00A92CED">
              <w:rPr>
                <w:lang w:val="fr-CA"/>
              </w:rPr>
              <w:t xml:space="preserve"> à l’exception d’un transporteur titulaire d’un certificat d’opérateur de pièces pyrotechniques, d’un agent de la paix, d’un employé du gouvernement fédéral ou d’un inspecteur nommé en vertu de la </w:t>
            </w:r>
            <w:r w:rsidR="00D31FBB" w:rsidRPr="00A92CED">
              <w:rPr>
                <w:i/>
                <w:lang w:val="fr-CA"/>
              </w:rPr>
              <w:t>Loi sur les explosifs</w:t>
            </w:r>
            <w:r w:rsidR="00D31FBB" w:rsidRPr="00A92CED">
              <w:rPr>
                <w:lang w:val="fr-CA"/>
              </w:rPr>
              <w:t> :</w:t>
            </w:r>
          </w:p>
          <w:p w14:paraId="51E6341D" w14:textId="00D15938" w:rsidR="003300F2" w:rsidRPr="00A92CED" w:rsidRDefault="003300F2" w:rsidP="007F1C5E">
            <w:pPr>
              <w:rPr>
                <w:lang w:val="fr-CA"/>
              </w:rPr>
            </w:pPr>
            <w:r w:rsidRPr="00A92CED">
              <w:rPr>
                <w:lang w:val="fr-CA"/>
              </w:rPr>
              <w:t xml:space="preserve"> : </w:t>
            </w:r>
          </w:p>
          <w:p w14:paraId="076A1614" w14:textId="08793741" w:rsidR="003300F2" w:rsidRPr="00A92CED" w:rsidRDefault="003300F2" w:rsidP="007F1C5E">
            <w:pPr>
              <w:pStyle w:val="ListParagraph"/>
              <w:numPr>
                <w:ilvl w:val="0"/>
                <w:numId w:val="23"/>
              </w:numPr>
              <w:rPr>
                <w:lang w:val="fr-CA"/>
              </w:rPr>
            </w:pPr>
            <w:r w:rsidRPr="00A92CED">
              <w:rPr>
                <w:lang w:val="fr-CA"/>
              </w:rPr>
              <w:lastRenderedPageBreak/>
              <w:t>Le transporteur doit obtenir un permis pour les véhicules transportant des explosifs.</w:t>
            </w:r>
          </w:p>
          <w:p w14:paraId="0BDDB311" w14:textId="72FB9191" w:rsidR="003300F2" w:rsidRPr="00A92CED" w:rsidRDefault="003300F2" w:rsidP="007F1C5E">
            <w:pPr>
              <w:pStyle w:val="ListParagraph"/>
              <w:numPr>
                <w:ilvl w:val="0"/>
                <w:numId w:val="23"/>
              </w:numPr>
              <w:rPr>
                <w:lang w:val="fr-CA"/>
              </w:rPr>
            </w:pPr>
            <w:r w:rsidRPr="00A92CED">
              <w:rPr>
                <w:lang w:val="fr-CA"/>
              </w:rPr>
              <w:t>Le permis de transport serait valide trois ans.</w:t>
            </w:r>
          </w:p>
          <w:p w14:paraId="52F1F271" w14:textId="7BD7F646" w:rsidR="003300F2" w:rsidRPr="00A92CED" w:rsidRDefault="003300F2" w:rsidP="007F1C5E">
            <w:pPr>
              <w:pStyle w:val="ListParagraph"/>
              <w:numPr>
                <w:ilvl w:val="0"/>
                <w:numId w:val="23"/>
              </w:numPr>
              <w:rPr>
                <w:lang w:val="fr-CA"/>
              </w:rPr>
            </w:pPr>
            <w:r w:rsidRPr="00A92CED">
              <w:rPr>
                <w:lang w:val="fr-CA"/>
              </w:rPr>
              <w:t>L’expéditeur ne doit pas céder d’explosifs à un transporteur, à moins que le transporteur ne détienne un permis de transport valide.</w:t>
            </w:r>
          </w:p>
        </w:tc>
        <w:tc>
          <w:tcPr>
            <w:tcW w:w="3143" w:type="dxa"/>
            <w:gridSpan w:val="2"/>
          </w:tcPr>
          <w:p w14:paraId="26EEC4A6" w14:textId="258971B0" w:rsidR="003300F2" w:rsidRPr="00A92CED" w:rsidRDefault="003300F2" w:rsidP="00B811AC">
            <w:pPr>
              <w:rPr>
                <w:lang w:val="fr-CA"/>
              </w:rPr>
            </w:pPr>
            <w:r w:rsidRPr="00A92CED">
              <w:rPr>
                <w:rFonts w:cstheme="minorHAnsi"/>
                <w:lang w:val="fr-CA"/>
              </w:rPr>
              <w:lastRenderedPageBreak/>
              <w:t>Cet amendement proposé visant à ajouter une exigence de permis de transport à la partie 9 du Règlement a pour but de renforcer la sécurité et la sûreté en abordant les risques que pose le transport d’explosifs.</w:t>
            </w:r>
          </w:p>
        </w:tc>
        <w:tc>
          <w:tcPr>
            <w:tcW w:w="3087" w:type="dxa"/>
          </w:tcPr>
          <w:p w14:paraId="30FAE7DA" w14:textId="77777777" w:rsidR="003300F2" w:rsidRPr="00A92CED" w:rsidRDefault="003300F2" w:rsidP="00B811AC">
            <w:pPr>
              <w:rPr>
                <w:lang w:val="fr-CA"/>
              </w:rPr>
            </w:pPr>
          </w:p>
        </w:tc>
      </w:tr>
      <w:tr w:rsidR="00A92CED" w:rsidRPr="00A92CED" w14:paraId="2C5E63FA" w14:textId="77777777" w:rsidTr="00E10233">
        <w:tc>
          <w:tcPr>
            <w:tcW w:w="3126" w:type="dxa"/>
          </w:tcPr>
          <w:p w14:paraId="442B1A1C" w14:textId="77777777" w:rsidR="003300F2" w:rsidRPr="00A92CED" w:rsidRDefault="003300F2" w:rsidP="00B811AC">
            <w:pPr>
              <w:pStyle w:val="ListParagraph"/>
              <w:numPr>
                <w:ilvl w:val="0"/>
                <w:numId w:val="1"/>
              </w:numPr>
              <w:jc w:val="center"/>
              <w:rPr>
                <w:lang w:val="fr-CA"/>
              </w:rPr>
            </w:pPr>
          </w:p>
        </w:tc>
        <w:tc>
          <w:tcPr>
            <w:tcW w:w="3715" w:type="dxa"/>
          </w:tcPr>
          <w:p w14:paraId="4495794A" w14:textId="45E1EC2A" w:rsidR="003300F2" w:rsidRPr="00A92CED" w:rsidRDefault="003300F2" w:rsidP="00B811AC">
            <w:pPr>
              <w:rPr>
                <w:b/>
                <w:lang w:val="fr-CA"/>
              </w:rPr>
            </w:pPr>
            <w:r w:rsidRPr="00A92CED">
              <w:rPr>
                <w:b/>
                <w:lang w:val="fr-CA"/>
              </w:rPr>
              <w:t>NOUVEAU</w:t>
            </w:r>
          </w:p>
        </w:tc>
        <w:tc>
          <w:tcPr>
            <w:tcW w:w="4076" w:type="dxa"/>
          </w:tcPr>
          <w:p w14:paraId="3FC9CB10" w14:textId="58CB220B" w:rsidR="003300F2" w:rsidRPr="00A92CED" w:rsidRDefault="003300F2" w:rsidP="003E2E0B">
            <w:pPr>
              <w:rPr>
                <w:lang w:val="fr-CA"/>
              </w:rPr>
            </w:pPr>
            <w:r w:rsidRPr="00A92CED">
              <w:rPr>
                <w:lang w:val="fr-CA"/>
              </w:rPr>
              <w:t>Modifier la partie 9 pour ajouter les nouvelles exigences ci-après pour les demandes de permis de transport :</w:t>
            </w:r>
          </w:p>
          <w:p w14:paraId="3B800565" w14:textId="0DE9B6A7" w:rsidR="003300F2" w:rsidRPr="00A92CED" w:rsidRDefault="003300F2" w:rsidP="003E2E0B">
            <w:pPr>
              <w:pStyle w:val="ListParagraph"/>
              <w:numPr>
                <w:ilvl w:val="0"/>
                <w:numId w:val="25"/>
              </w:numPr>
              <w:rPr>
                <w:lang w:val="fr-CA"/>
              </w:rPr>
            </w:pPr>
            <w:r w:rsidRPr="00A92CED">
              <w:rPr>
                <w:lang w:val="fr-CA"/>
              </w:rPr>
              <w:t>Le demandeur d’un permis de transport remplit, signe et fait parvenir à l’inspecteur en chef des explosifs le formulaire de demande fourni par le ministère des Ressources naturelles. La demande contient les renseignements suivants :</w:t>
            </w:r>
          </w:p>
          <w:p w14:paraId="395BD2B4" w14:textId="1773828D" w:rsidR="003300F2" w:rsidRPr="00A92CED" w:rsidRDefault="003300F2" w:rsidP="003E2E0B">
            <w:pPr>
              <w:pStyle w:val="ListParagraph"/>
              <w:numPr>
                <w:ilvl w:val="1"/>
                <w:numId w:val="24"/>
              </w:numPr>
              <w:rPr>
                <w:lang w:val="fr-CA"/>
              </w:rPr>
            </w:pPr>
            <w:r w:rsidRPr="00A92CED">
              <w:rPr>
                <w:lang w:val="fr-CA"/>
              </w:rPr>
              <w:t>les nom, adresse, numéro de téléphone et adresse électronique du demandeur et de la personne-ressource du demandeur;</w:t>
            </w:r>
          </w:p>
          <w:p w14:paraId="12AF0328" w14:textId="52523FD9" w:rsidR="003300F2" w:rsidRPr="00A92CED" w:rsidRDefault="003300F2" w:rsidP="003E2E0B">
            <w:pPr>
              <w:pStyle w:val="ListParagraph"/>
              <w:numPr>
                <w:ilvl w:val="1"/>
                <w:numId w:val="24"/>
              </w:numPr>
              <w:rPr>
                <w:lang w:val="fr-CA"/>
              </w:rPr>
            </w:pPr>
            <w:r w:rsidRPr="00A92CED">
              <w:rPr>
                <w:lang w:val="fr-CA"/>
              </w:rPr>
              <w:t xml:space="preserve">la liste des véhicules qui seront utilisés pour transporter des explosifs, y compris une description et le numéro d’identification (NIV) des véhicules; </w:t>
            </w:r>
          </w:p>
          <w:p w14:paraId="5F18DF1C" w14:textId="121F5B7F" w:rsidR="003300F2" w:rsidRPr="00A92CED" w:rsidRDefault="003300F2" w:rsidP="003E2E0B">
            <w:pPr>
              <w:pStyle w:val="ListParagraph"/>
              <w:numPr>
                <w:ilvl w:val="1"/>
                <w:numId w:val="24"/>
              </w:numPr>
              <w:rPr>
                <w:lang w:val="fr-CA"/>
              </w:rPr>
            </w:pPr>
            <w:r w:rsidRPr="00A92CED">
              <w:rPr>
                <w:lang w:val="fr-CA"/>
              </w:rPr>
              <w:lastRenderedPageBreak/>
              <w:t xml:space="preserve">les précautions qui seront prises pour réduire au minimum la probabilité d’un allumage; </w:t>
            </w:r>
          </w:p>
          <w:p w14:paraId="58341D3F" w14:textId="197042FA" w:rsidR="003300F2" w:rsidRPr="00A92CED" w:rsidRDefault="003300F2" w:rsidP="003E2E0B">
            <w:pPr>
              <w:pStyle w:val="ListParagraph"/>
              <w:numPr>
                <w:ilvl w:val="1"/>
                <w:numId w:val="24"/>
              </w:numPr>
              <w:rPr>
                <w:lang w:val="fr-CA"/>
              </w:rPr>
            </w:pPr>
            <w:r w:rsidRPr="00A92CED">
              <w:rPr>
                <w:lang w:val="fr-CA"/>
              </w:rPr>
              <w:t>l’emplacement au Canada des lieux de stockage sûrs qui peuvent être utilisés si le transport des explosifs est interrompu et que les explosifs doivent être stockés sur un site agréé, y compris le numéro et la date d’expiration de la licence de la fabrique agréée ou de la poudrière agréée;</w:t>
            </w:r>
          </w:p>
          <w:p w14:paraId="6252DF30" w14:textId="074E5F11" w:rsidR="003300F2" w:rsidRPr="00A92CED" w:rsidRDefault="003300F2" w:rsidP="00F47EB0">
            <w:pPr>
              <w:pStyle w:val="ListParagraph"/>
              <w:numPr>
                <w:ilvl w:val="1"/>
                <w:numId w:val="24"/>
              </w:numPr>
              <w:rPr>
                <w:lang w:val="fr-CA"/>
              </w:rPr>
            </w:pPr>
            <w:r w:rsidRPr="00A92CED">
              <w:rPr>
                <w:lang w:val="fr-CA"/>
              </w:rPr>
              <w:t xml:space="preserve">dans le cas où un lieu de stockage sûr est une poudrière qui appartient à une personne autre que le demandeur du permis, une entente écrite indiquant que l’autre personne accepte de stocker les explosifs dans sa poudrière dans le cas où le transport doit être interrompu. </w:t>
            </w:r>
          </w:p>
          <w:p w14:paraId="355AF2E9" w14:textId="2F982819" w:rsidR="003300F2" w:rsidRPr="00A92CED" w:rsidRDefault="003300F2" w:rsidP="003E2E0B">
            <w:pPr>
              <w:pStyle w:val="ListParagraph"/>
              <w:numPr>
                <w:ilvl w:val="0"/>
                <w:numId w:val="25"/>
              </w:numPr>
              <w:rPr>
                <w:lang w:val="fr-CA"/>
              </w:rPr>
            </w:pPr>
            <w:r w:rsidRPr="00A92CED">
              <w:rPr>
                <w:lang w:val="fr-CA"/>
              </w:rPr>
              <w:t xml:space="preserve">La liste contenant la description et le NIV des véhicules utilisés pour transporter des explosifs doit être tenue à jour et envoyée chaque </w:t>
            </w:r>
            <w:r w:rsidRPr="00A92CED">
              <w:rPr>
                <w:lang w:val="fr-CA"/>
              </w:rPr>
              <w:lastRenderedPageBreak/>
              <w:t>année à l’inspecteur en chef des explosifs.</w:t>
            </w:r>
          </w:p>
        </w:tc>
        <w:tc>
          <w:tcPr>
            <w:tcW w:w="3143" w:type="dxa"/>
            <w:gridSpan w:val="2"/>
          </w:tcPr>
          <w:p w14:paraId="7D25A51D" w14:textId="31232F8B" w:rsidR="003300F2" w:rsidRPr="00A92CED" w:rsidRDefault="003300F2" w:rsidP="00B811AC">
            <w:pPr>
              <w:rPr>
                <w:lang w:val="fr-CA"/>
              </w:rPr>
            </w:pPr>
            <w:r w:rsidRPr="00A92CED">
              <w:rPr>
                <w:lang w:val="fr-CA"/>
              </w:rPr>
              <w:lastRenderedPageBreak/>
              <w:t>Cet amendement proposé appuie l’intention de la politique d’ajouter des exigences de permis de transport à la partie 9 et permettrait de s’assurer que les transporteurs et les conducteurs connaissent et respectent les exigences en matière de transport prévues par le Règlement.</w:t>
            </w:r>
          </w:p>
        </w:tc>
        <w:tc>
          <w:tcPr>
            <w:tcW w:w="3087" w:type="dxa"/>
          </w:tcPr>
          <w:p w14:paraId="283C4CE3" w14:textId="77777777" w:rsidR="003300F2" w:rsidRPr="00A92CED" w:rsidRDefault="003300F2" w:rsidP="00B811AC">
            <w:pPr>
              <w:rPr>
                <w:lang w:val="fr-CA"/>
              </w:rPr>
            </w:pPr>
          </w:p>
        </w:tc>
      </w:tr>
      <w:tr w:rsidR="00A92CED" w:rsidRPr="00A92CED" w14:paraId="0F831973" w14:textId="77777777" w:rsidTr="00E10233">
        <w:tc>
          <w:tcPr>
            <w:tcW w:w="3126" w:type="dxa"/>
          </w:tcPr>
          <w:p w14:paraId="30CAABD6" w14:textId="77777777" w:rsidR="003300F2" w:rsidRPr="00A92CED" w:rsidRDefault="003300F2" w:rsidP="00B811AC">
            <w:pPr>
              <w:pStyle w:val="ListParagraph"/>
              <w:numPr>
                <w:ilvl w:val="0"/>
                <w:numId w:val="1"/>
              </w:numPr>
              <w:jc w:val="center"/>
              <w:rPr>
                <w:lang w:val="fr-CA"/>
              </w:rPr>
            </w:pPr>
          </w:p>
        </w:tc>
        <w:tc>
          <w:tcPr>
            <w:tcW w:w="3715" w:type="dxa"/>
          </w:tcPr>
          <w:p w14:paraId="6A2EFCCB" w14:textId="072DD9E8" w:rsidR="003300F2" w:rsidRPr="00A92CED" w:rsidRDefault="003300F2" w:rsidP="00B811AC">
            <w:pPr>
              <w:rPr>
                <w:b/>
                <w:lang w:val="fr-CA"/>
              </w:rPr>
            </w:pPr>
            <w:r w:rsidRPr="00A92CED">
              <w:rPr>
                <w:b/>
                <w:lang w:val="fr-CA"/>
              </w:rPr>
              <w:t>NOUVEAU</w:t>
            </w:r>
          </w:p>
        </w:tc>
        <w:tc>
          <w:tcPr>
            <w:tcW w:w="4076" w:type="dxa"/>
          </w:tcPr>
          <w:p w14:paraId="7FFD555D" w14:textId="1499BC22" w:rsidR="003300F2" w:rsidRPr="00A92CED" w:rsidRDefault="003300F2" w:rsidP="00E217DB">
            <w:pPr>
              <w:rPr>
                <w:lang w:val="fr-CA"/>
              </w:rPr>
            </w:pPr>
            <w:r w:rsidRPr="00A92CED">
              <w:rPr>
                <w:rFonts w:ascii="Calibri" w:hAnsi="Calibri" w:cs="Calibri"/>
                <w:lang w:val="fr-CA"/>
              </w:rPr>
              <w:t>Modifier la partie 9 pour ajouter une nouvelle exigence stipulant que le titulaire d’un permis de transport doit veiller à ce que chaque conducteur qui pourrait avoir accès à un explosif à risque élevé, selon le cas :</w:t>
            </w:r>
            <w:r w:rsidRPr="00A92CED">
              <w:rPr>
                <w:lang w:val="fr-CA"/>
              </w:rPr>
              <w:t xml:space="preserve"> </w:t>
            </w:r>
          </w:p>
          <w:p w14:paraId="34C0DA5B" w14:textId="56F3F33D" w:rsidR="003300F2" w:rsidRPr="00A92CED" w:rsidRDefault="003300F2" w:rsidP="00E217DB">
            <w:pPr>
              <w:pStyle w:val="ListParagraph"/>
              <w:numPr>
                <w:ilvl w:val="0"/>
                <w:numId w:val="25"/>
              </w:numPr>
              <w:rPr>
                <w:rFonts w:ascii="Calibri" w:hAnsi="Calibri" w:cs="Calibri"/>
                <w:lang w:val="fr-CA"/>
              </w:rPr>
            </w:pPr>
            <w:r w:rsidRPr="00A92CED">
              <w:rPr>
                <w:rFonts w:ascii="Calibri" w:hAnsi="Calibri" w:cs="Calibri"/>
                <w:lang w:val="fr-CA"/>
              </w:rPr>
              <w:t>est une personne compétente;</w:t>
            </w:r>
          </w:p>
          <w:p w14:paraId="27A4DF99" w14:textId="2D72368A" w:rsidR="003300F2" w:rsidRPr="00A92CED" w:rsidRDefault="003300F2" w:rsidP="00E217DB">
            <w:pPr>
              <w:pStyle w:val="ListParagraph"/>
              <w:numPr>
                <w:ilvl w:val="0"/>
                <w:numId w:val="25"/>
              </w:numPr>
              <w:rPr>
                <w:lang w:val="fr-CA"/>
              </w:rPr>
            </w:pPr>
            <w:r w:rsidRPr="00A92CED">
              <w:rPr>
                <w:rFonts w:ascii="Calibri" w:hAnsi="Calibri" w:cs="Calibri"/>
                <w:lang w:val="fr-CA"/>
              </w:rPr>
              <w:t>est âgé d’au moins 21 ans, participe au programme de formation mentionné à l’article de la partie 9 qui décrit les exigences en matière de formation et est sous la supervision directe d’une personne compétente.</w:t>
            </w:r>
          </w:p>
        </w:tc>
        <w:tc>
          <w:tcPr>
            <w:tcW w:w="3143" w:type="dxa"/>
            <w:gridSpan w:val="2"/>
          </w:tcPr>
          <w:p w14:paraId="59C7CE67" w14:textId="3B848BAC" w:rsidR="003300F2" w:rsidRPr="00A92CED" w:rsidRDefault="003300F2" w:rsidP="00E217DB">
            <w:pPr>
              <w:rPr>
                <w:lang w:val="fr-CA"/>
              </w:rPr>
            </w:pPr>
            <w:r w:rsidRPr="00A92CED">
              <w:rPr>
                <w:lang w:val="fr-CA"/>
              </w:rPr>
              <w:t xml:space="preserve">Cet amendement proposé appuie l’intention de la politique d’ajouter exigences de permis de transport à la partie 9 et vise à s’assurer que tous les transporteurs veillent à ce que leurs conducteurs qui transportent des explosifs soient conscients des exigences de sécurité et de sûreté liées au transport d’explosifs. </w:t>
            </w:r>
          </w:p>
          <w:p w14:paraId="61461AC2" w14:textId="77777777" w:rsidR="003300F2" w:rsidRPr="00A92CED" w:rsidRDefault="003300F2" w:rsidP="00E217DB">
            <w:pPr>
              <w:rPr>
                <w:lang w:val="fr-CA"/>
              </w:rPr>
            </w:pPr>
          </w:p>
          <w:p w14:paraId="7B22C0FA" w14:textId="5C4647B0" w:rsidR="003300F2" w:rsidRPr="00A92CED" w:rsidRDefault="003300F2" w:rsidP="00E217DB">
            <w:pPr>
              <w:rPr>
                <w:lang w:val="fr-CA"/>
              </w:rPr>
            </w:pPr>
            <w:r w:rsidRPr="00A92CED">
              <w:rPr>
                <w:lang w:val="fr-CA"/>
              </w:rPr>
              <w:t xml:space="preserve">L’intention est de remplacer </w:t>
            </w:r>
            <w:r w:rsidRPr="00A92CED">
              <w:rPr>
                <w:rFonts w:cstheme="minorHAnsi"/>
                <w:lang w:val="fr-CA"/>
              </w:rPr>
              <w:t>«</w:t>
            </w:r>
            <w:r w:rsidRPr="00A92CED">
              <w:rPr>
                <w:lang w:val="fr-CA"/>
              </w:rPr>
              <w:t> l’article de la partie 9 qui décrit les exigences en matière de formation </w:t>
            </w:r>
            <w:r w:rsidRPr="00A92CED">
              <w:rPr>
                <w:rFonts w:cstheme="minorHAnsi"/>
                <w:lang w:val="fr-CA"/>
              </w:rPr>
              <w:t>»</w:t>
            </w:r>
            <w:r w:rsidRPr="00A92CED">
              <w:rPr>
                <w:lang w:val="fr-CA"/>
              </w:rPr>
              <w:t xml:space="preserve"> par le numéro d’article énonçant les nouvelles exigences proposées en matière de formation au point 87 du présent document de consultation.</w:t>
            </w:r>
          </w:p>
        </w:tc>
        <w:tc>
          <w:tcPr>
            <w:tcW w:w="3087" w:type="dxa"/>
          </w:tcPr>
          <w:p w14:paraId="7F523333" w14:textId="77777777" w:rsidR="003300F2" w:rsidRPr="00A92CED" w:rsidRDefault="003300F2" w:rsidP="00B811AC">
            <w:pPr>
              <w:rPr>
                <w:lang w:val="fr-CA"/>
              </w:rPr>
            </w:pPr>
          </w:p>
        </w:tc>
      </w:tr>
      <w:tr w:rsidR="00A92CED" w:rsidRPr="00A92CED" w14:paraId="77F05AB9" w14:textId="77777777" w:rsidTr="00E10233">
        <w:tc>
          <w:tcPr>
            <w:tcW w:w="3126" w:type="dxa"/>
          </w:tcPr>
          <w:p w14:paraId="3374163D" w14:textId="77777777" w:rsidR="003300F2" w:rsidRPr="00A92CED" w:rsidRDefault="003300F2" w:rsidP="00B811AC">
            <w:pPr>
              <w:pStyle w:val="ListParagraph"/>
              <w:numPr>
                <w:ilvl w:val="0"/>
                <w:numId w:val="1"/>
              </w:numPr>
              <w:jc w:val="center"/>
              <w:rPr>
                <w:lang w:val="fr-CA"/>
              </w:rPr>
            </w:pPr>
          </w:p>
        </w:tc>
        <w:tc>
          <w:tcPr>
            <w:tcW w:w="3715" w:type="dxa"/>
          </w:tcPr>
          <w:p w14:paraId="0785E440" w14:textId="050D5A2C" w:rsidR="003300F2" w:rsidRPr="00A92CED" w:rsidRDefault="003300F2" w:rsidP="00B811AC">
            <w:pPr>
              <w:rPr>
                <w:b/>
                <w:lang w:val="fr-CA"/>
              </w:rPr>
            </w:pPr>
            <w:r w:rsidRPr="00A92CED">
              <w:rPr>
                <w:b/>
                <w:lang w:val="fr-CA"/>
              </w:rPr>
              <w:t>NOUVEAU</w:t>
            </w:r>
          </w:p>
        </w:tc>
        <w:tc>
          <w:tcPr>
            <w:tcW w:w="4076" w:type="dxa"/>
          </w:tcPr>
          <w:p w14:paraId="24E068B6" w14:textId="14A0382A" w:rsidR="003300F2" w:rsidRPr="00A92CED" w:rsidRDefault="003300F2" w:rsidP="001675B3">
            <w:pPr>
              <w:rPr>
                <w:lang w:val="fr-CA"/>
              </w:rPr>
            </w:pPr>
            <w:r w:rsidRPr="00A92CED">
              <w:rPr>
                <w:lang w:val="fr-CA"/>
              </w:rPr>
              <w:t xml:space="preserve">Modifier la partie 9 pour ajouter les nouvelles exigences ci-après : </w:t>
            </w:r>
          </w:p>
          <w:p w14:paraId="501DDC91" w14:textId="3355B67E" w:rsidR="003300F2" w:rsidRPr="00A92CED" w:rsidRDefault="003300F2" w:rsidP="001675B3">
            <w:pPr>
              <w:pStyle w:val="ListParagraph"/>
              <w:numPr>
                <w:ilvl w:val="0"/>
                <w:numId w:val="25"/>
              </w:numPr>
              <w:rPr>
                <w:lang w:val="fr-CA"/>
              </w:rPr>
            </w:pPr>
            <w:r w:rsidRPr="00A92CED">
              <w:rPr>
                <w:lang w:val="fr-CA"/>
              </w:rPr>
              <w:t xml:space="preserve">Chaque conducteur qui pourrait avoir accès à un explosif à risque élevé reçoit une formation par une personne compétente sur la façon d’exercer ses fonctions relatives au transport d’explosifs en toute sécurité et légalité; </w:t>
            </w:r>
          </w:p>
          <w:p w14:paraId="308BADDC" w14:textId="18A588A5" w:rsidR="003300F2" w:rsidRPr="00A92CED" w:rsidRDefault="003300F2" w:rsidP="001675B3">
            <w:pPr>
              <w:pStyle w:val="ListParagraph"/>
              <w:numPr>
                <w:ilvl w:val="0"/>
                <w:numId w:val="25"/>
              </w:numPr>
              <w:rPr>
                <w:lang w:val="fr-CA"/>
              </w:rPr>
            </w:pPr>
            <w:r w:rsidRPr="00A92CED">
              <w:rPr>
                <w:lang w:val="fr-CA"/>
              </w:rPr>
              <w:lastRenderedPageBreak/>
              <w:t>La formation offre toute l’information que le conducteur doit connaître pour exercer ses fonctions et l’information nécessaire pour assurer la sécurité du public et la sûreté des explosifs qui sont transportés;</w:t>
            </w:r>
          </w:p>
          <w:p w14:paraId="79998C90" w14:textId="44869D72" w:rsidR="003300F2" w:rsidRPr="00A92CED" w:rsidRDefault="003300F2" w:rsidP="001675B3">
            <w:pPr>
              <w:pStyle w:val="ListParagraph"/>
              <w:numPr>
                <w:ilvl w:val="0"/>
                <w:numId w:val="25"/>
              </w:numPr>
              <w:rPr>
                <w:lang w:val="fr-CA"/>
              </w:rPr>
            </w:pPr>
            <w:r w:rsidRPr="00A92CED">
              <w:rPr>
                <w:lang w:val="fr-CA"/>
              </w:rPr>
              <w:t>La formation doit également porter sur les éléments suivants :</w:t>
            </w:r>
          </w:p>
          <w:p w14:paraId="12B260A2" w14:textId="487934FA" w:rsidR="003300F2" w:rsidRPr="00A92CED" w:rsidRDefault="003300F2" w:rsidP="001675B3">
            <w:pPr>
              <w:numPr>
                <w:ilvl w:val="1"/>
                <w:numId w:val="25"/>
              </w:numPr>
              <w:rPr>
                <w:lang w:val="fr-CA"/>
              </w:rPr>
            </w:pPr>
            <w:r w:rsidRPr="00A92CED">
              <w:rPr>
                <w:lang w:val="fr-CA"/>
              </w:rPr>
              <w:t xml:space="preserve">les dispositions pertinentes de la </w:t>
            </w:r>
            <w:r w:rsidRPr="00A92CED">
              <w:rPr>
                <w:i/>
                <w:iCs/>
                <w:lang w:val="fr-CA"/>
              </w:rPr>
              <w:t>Loi sur les explosifs</w:t>
            </w:r>
            <w:r w:rsidRPr="00A92CED">
              <w:rPr>
                <w:lang w:val="fr-CA"/>
              </w:rPr>
              <w:t xml:space="preserve"> et du présent règlement;</w:t>
            </w:r>
          </w:p>
          <w:p w14:paraId="6031E51E" w14:textId="1056D81C" w:rsidR="003300F2" w:rsidRPr="00A92CED" w:rsidRDefault="003300F2" w:rsidP="001675B3">
            <w:pPr>
              <w:numPr>
                <w:ilvl w:val="1"/>
                <w:numId w:val="25"/>
              </w:numPr>
              <w:rPr>
                <w:lang w:val="fr-CA"/>
              </w:rPr>
            </w:pPr>
            <w:r w:rsidRPr="00A92CED">
              <w:rPr>
                <w:lang w:val="fr-CA"/>
              </w:rPr>
              <w:t>les précautions à prendre pour réduire au minimum la probabilité d’un allumage;</w:t>
            </w:r>
          </w:p>
          <w:p w14:paraId="369226AB" w14:textId="211355BF" w:rsidR="003300F2" w:rsidRPr="00A92CED" w:rsidRDefault="003300F2" w:rsidP="001675B3">
            <w:pPr>
              <w:numPr>
                <w:ilvl w:val="1"/>
                <w:numId w:val="25"/>
              </w:numPr>
              <w:rPr>
                <w:lang w:val="fr-CA"/>
              </w:rPr>
            </w:pPr>
            <w:r w:rsidRPr="00A92CED">
              <w:rPr>
                <w:lang w:val="fr-CA"/>
              </w:rPr>
              <w:t>les politiques et procédures du transporteur qui peuvent avoir une incidence sur le transport en toute sécurité des explosifs.</w:t>
            </w:r>
          </w:p>
        </w:tc>
        <w:tc>
          <w:tcPr>
            <w:tcW w:w="3143" w:type="dxa"/>
            <w:gridSpan w:val="2"/>
          </w:tcPr>
          <w:p w14:paraId="1FE24989" w14:textId="113A792C" w:rsidR="003300F2" w:rsidRPr="00A92CED" w:rsidRDefault="003300F2" w:rsidP="00B811AC">
            <w:pPr>
              <w:rPr>
                <w:lang w:val="fr-CA"/>
              </w:rPr>
            </w:pPr>
            <w:r w:rsidRPr="00A92CED">
              <w:rPr>
                <w:rFonts w:cstheme="minorHAnsi"/>
                <w:lang w:val="fr-CA"/>
              </w:rPr>
              <w:lastRenderedPageBreak/>
              <w:t xml:space="preserve">Ces amendements proposés appuient l’intention de la politique d’ajouter des exigences de permis de transport à la partie 9 en introduisant un programme de formation pour les conducteurs qui transportent des explosifs et qui sont employés par des </w:t>
            </w:r>
            <w:r w:rsidRPr="00A92CED">
              <w:rPr>
                <w:rFonts w:cstheme="minorHAnsi"/>
                <w:lang w:val="fr-CA"/>
              </w:rPr>
              <w:lastRenderedPageBreak/>
              <w:t>titulaires de permis de transport.</w:t>
            </w:r>
          </w:p>
        </w:tc>
        <w:tc>
          <w:tcPr>
            <w:tcW w:w="3087" w:type="dxa"/>
          </w:tcPr>
          <w:p w14:paraId="472BD753" w14:textId="77777777" w:rsidR="003300F2" w:rsidRPr="00A92CED" w:rsidRDefault="003300F2" w:rsidP="00B811AC">
            <w:pPr>
              <w:rPr>
                <w:lang w:val="fr-CA"/>
              </w:rPr>
            </w:pPr>
          </w:p>
        </w:tc>
      </w:tr>
      <w:tr w:rsidR="00A92CED" w:rsidRPr="00A92CED" w14:paraId="3CD74742" w14:textId="77777777" w:rsidTr="00E10233">
        <w:tc>
          <w:tcPr>
            <w:tcW w:w="3126" w:type="dxa"/>
          </w:tcPr>
          <w:p w14:paraId="5AD567A9" w14:textId="77777777" w:rsidR="003300F2" w:rsidRPr="00A92CED" w:rsidRDefault="003300F2" w:rsidP="00B811AC">
            <w:pPr>
              <w:pStyle w:val="ListParagraph"/>
              <w:numPr>
                <w:ilvl w:val="0"/>
                <w:numId w:val="1"/>
              </w:numPr>
              <w:jc w:val="center"/>
              <w:rPr>
                <w:lang w:val="fr-CA"/>
              </w:rPr>
            </w:pPr>
          </w:p>
        </w:tc>
        <w:tc>
          <w:tcPr>
            <w:tcW w:w="3715" w:type="dxa"/>
          </w:tcPr>
          <w:p w14:paraId="47F6B35C" w14:textId="6C4908FF" w:rsidR="003300F2" w:rsidRPr="00A92CED" w:rsidRDefault="003300F2" w:rsidP="00B811AC">
            <w:pPr>
              <w:rPr>
                <w:b/>
                <w:lang w:val="fr-CA"/>
              </w:rPr>
            </w:pPr>
            <w:r w:rsidRPr="00A92CED">
              <w:rPr>
                <w:b/>
                <w:lang w:val="fr-CA"/>
              </w:rPr>
              <w:t>NOUVEAU</w:t>
            </w:r>
          </w:p>
        </w:tc>
        <w:tc>
          <w:tcPr>
            <w:tcW w:w="4076" w:type="dxa"/>
          </w:tcPr>
          <w:p w14:paraId="7626BC43" w14:textId="2D3F7200" w:rsidR="003300F2" w:rsidRPr="00A92CED" w:rsidRDefault="003300F2" w:rsidP="00B93163">
            <w:pPr>
              <w:rPr>
                <w:lang w:val="fr-CA"/>
              </w:rPr>
            </w:pPr>
            <w:r w:rsidRPr="00A92CED">
              <w:rPr>
                <w:lang w:val="fr-CA"/>
              </w:rPr>
              <w:t xml:space="preserve">Modifier la partie 9 pour ajouter une nouvelle exigence stipulant que le titulaire d’un permis de transport doit attester que tout conducteur âgé d’au moins 21 ans qui pourrait avoir accès à un explosif à risque élevé possède la formation requise si les conditions suivantes sont remplies : </w:t>
            </w:r>
          </w:p>
          <w:p w14:paraId="47115BDD" w14:textId="3EF7CF98" w:rsidR="003300F2" w:rsidRPr="00A92CED" w:rsidRDefault="003300F2" w:rsidP="00B93163">
            <w:pPr>
              <w:pStyle w:val="ListParagraph"/>
              <w:numPr>
                <w:ilvl w:val="0"/>
                <w:numId w:val="25"/>
              </w:numPr>
              <w:rPr>
                <w:lang w:val="fr-CA"/>
              </w:rPr>
            </w:pPr>
            <w:r w:rsidRPr="00A92CED">
              <w:rPr>
                <w:lang w:val="fr-CA"/>
              </w:rPr>
              <w:t xml:space="preserve">le conducteur a terminé avec succès la formation mentionnée dans l’article de la partie 9 qui </w:t>
            </w:r>
            <w:r w:rsidRPr="00A92CED">
              <w:rPr>
                <w:lang w:val="fr-CA"/>
              </w:rPr>
              <w:lastRenderedPageBreak/>
              <w:t>décrit les exigences en matière de formation;</w:t>
            </w:r>
          </w:p>
          <w:p w14:paraId="5E4B98A7" w14:textId="15931D67" w:rsidR="003300F2" w:rsidRPr="00A92CED" w:rsidRDefault="003300F2" w:rsidP="00B93163">
            <w:pPr>
              <w:pStyle w:val="ListParagraph"/>
              <w:numPr>
                <w:ilvl w:val="0"/>
                <w:numId w:val="25"/>
              </w:numPr>
              <w:rPr>
                <w:lang w:val="fr-CA"/>
              </w:rPr>
            </w:pPr>
            <w:r w:rsidRPr="00A92CED">
              <w:rPr>
                <w:lang w:val="fr-CA"/>
              </w:rPr>
              <w:t>le titulaire du permis de transport a des motifs raisonnables de croire que le conducteur comprend les dangers auxquels il pourrait être exposé et est en mesure d’exercer ses fonctions en toute sécurité et légalité et de façon à veiller à la sûreté des explosifs.</w:t>
            </w:r>
          </w:p>
        </w:tc>
        <w:tc>
          <w:tcPr>
            <w:tcW w:w="3143" w:type="dxa"/>
            <w:gridSpan w:val="2"/>
          </w:tcPr>
          <w:p w14:paraId="02111E68" w14:textId="0A4CF2D9" w:rsidR="003300F2" w:rsidRPr="00A92CED" w:rsidRDefault="003300F2" w:rsidP="00B93163">
            <w:pPr>
              <w:rPr>
                <w:rFonts w:cstheme="minorHAnsi"/>
                <w:lang w:val="fr-CA"/>
              </w:rPr>
            </w:pPr>
            <w:r w:rsidRPr="00A92CED">
              <w:rPr>
                <w:rFonts w:cstheme="minorHAnsi"/>
                <w:lang w:val="fr-CA"/>
              </w:rPr>
              <w:lastRenderedPageBreak/>
              <w:t xml:space="preserve">Ces amendements proposés appuient l’intention de la politique d’ajouter des exigences de permis de transport à la partie 9 et permettraient de s’assurer que les conducteurs connaissent les mesures de sécurité et de sûreté requises pour le transport d’explosifs. </w:t>
            </w:r>
          </w:p>
          <w:p w14:paraId="65C82AFC" w14:textId="77777777" w:rsidR="003300F2" w:rsidRPr="00A92CED" w:rsidRDefault="003300F2" w:rsidP="00B93163">
            <w:pPr>
              <w:rPr>
                <w:rFonts w:cstheme="minorHAnsi"/>
                <w:lang w:val="fr-CA"/>
              </w:rPr>
            </w:pPr>
          </w:p>
          <w:p w14:paraId="152C1C68" w14:textId="1C0C313B" w:rsidR="003300F2" w:rsidRPr="00A92CED" w:rsidRDefault="003300F2" w:rsidP="00B93163">
            <w:pPr>
              <w:rPr>
                <w:lang w:val="fr-CA"/>
              </w:rPr>
            </w:pPr>
            <w:r w:rsidRPr="00A92CED">
              <w:rPr>
                <w:lang w:val="fr-CA"/>
              </w:rPr>
              <w:t xml:space="preserve">L’intention est de remplacer </w:t>
            </w:r>
            <w:r w:rsidRPr="00A92CED">
              <w:rPr>
                <w:rFonts w:cstheme="minorHAnsi"/>
                <w:lang w:val="fr-CA"/>
              </w:rPr>
              <w:t>«</w:t>
            </w:r>
            <w:r w:rsidRPr="00A92CED">
              <w:rPr>
                <w:lang w:val="fr-CA"/>
              </w:rPr>
              <w:t> l’article de la partie 9 qui décrit les exigences en matière de formation </w:t>
            </w:r>
            <w:r w:rsidRPr="00A92CED">
              <w:rPr>
                <w:rFonts w:cstheme="minorHAnsi"/>
                <w:lang w:val="fr-CA"/>
              </w:rPr>
              <w:t>»</w:t>
            </w:r>
            <w:r w:rsidRPr="00A92CED">
              <w:rPr>
                <w:lang w:val="fr-CA"/>
              </w:rPr>
              <w:t xml:space="preserve"> par le numéro d’article énonçant les nouvelles exigences proposées en matière de formation au point 87 du présent document de consultation.</w:t>
            </w:r>
          </w:p>
        </w:tc>
        <w:tc>
          <w:tcPr>
            <w:tcW w:w="3087" w:type="dxa"/>
          </w:tcPr>
          <w:p w14:paraId="584A7E2C" w14:textId="77777777" w:rsidR="003300F2" w:rsidRPr="00A92CED" w:rsidRDefault="003300F2" w:rsidP="00B811AC">
            <w:pPr>
              <w:rPr>
                <w:lang w:val="fr-CA"/>
              </w:rPr>
            </w:pPr>
          </w:p>
        </w:tc>
      </w:tr>
      <w:tr w:rsidR="00A92CED" w:rsidRPr="00A92CED" w14:paraId="2B3C57E2" w14:textId="77777777" w:rsidTr="00E10233">
        <w:tc>
          <w:tcPr>
            <w:tcW w:w="3126" w:type="dxa"/>
          </w:tcPr>
          <w:p w14:paraId="29D590AF" w14:textId="77777777" w:rsidR="003300F2" w:rsidRPr="00A92CED" w:rsidRDefault="003300F2" w:rsidP="00B811AC">
            <w:pPr>
              <w:pStyle w:val="ListParagraph"/>
              <w:numPr>
                <w:ilvl w:val="0"/>
                <w:numId w:val="1"/>
              </w:numPr>
              <w:jc w:val="center"/>
              <w:rPr>
                <w:lang w:val="fr-CA"/>
              </w:rPr>
            </w:pPr>
          </w:p>
        </w:tc>
        <w:tc>
          <w:tcPr>
            <w:tcW w:w="3715" w:type="dxa"/>
          </w:tcPr>
          <w:p w14:paraId="011C5E06" w14:textId="2A3A1457" w:rsidR="003300F2" w:rsidRPr="00A92CED" w:rsidRDefault="003300F2" w:rsidP="00B811AC">
            <w:pPr>
              <w:rPr>
                <w:b/>
                <w:lang w:val="fr-CA"/>
              </w:rPr>
            </w:pPr>
            <w:r w:rsidRPr="00A92CED">
              <w:rPr>
                <w:b/>
                <w:lang w:val="fr-CA"/>
              </w:rPr>
              <w:t>NOUVEAU</w:t>
            </w:r>
          </w:p>
        </w:tc>
        <w:tc>
          <w:tcPr>
            <w:tcW w:w="4076" w:type="dxa"/>
          </w:tcPr>
          <w:p w14:paraId="38C004E0" w14:textId="60CC6333" w:rsidR="003300F2" w:rsidRPr="00A92CED" w:rsidRDefault="003300F2" w:rsidP="00C37393">
            <w:pPr>
              <w:rPr>
                <w:lang w:val="fr-CA"/>
              </w:rPr>
            </w:pPr>
            <w:r w:rsidRPr="00A92CED">
              <w:rPr>
                <w:lang w:val="fr-CA"/>
              </w:rPr>
              <w:t xml:space="preserve">Modifier la partie 9 pour ajouter une nouvelle exigence stipulant qu’une attestation de formation, soit un dossier de formation ou tout autre document signé par la personne qui a donné la formation ou par le titulaire du permis de transport, doit être remise au conducteur et doit contenir les renseignements suivants : </w:t>
            </w:r>
          </w:p>
          <w:p w14:paraId="3987E270" w14:textId="745F1A32" w:rsidR="003300F2" w:rsidRPr="00A92CED" w:rsidRDefault="003300F2" w:rsidP="00C37393">
            <w:pPr>
              <w:pStyle w:val="ListParagraph"/>
              <w:numPr>
                <w:ilvl w:val="0"/>
                <w:numId w:val="25"/>
              </w:numPr>
              <w:rPr>
                <w:lang w:val="fr-CA"/>
              </w:rPr>
            </w:pPr>
            <w:r w:rsidRPr="00A92CED">
              <w:rPr>
                <w:lang w:val="fr-CA"/>
              </w:rPr>
              <w:t>le nom du conducteur ;</w:t>
            </w:r>
          </w:p>
          <w:p w14:paraId="2D06AD18" w14:textId="4005215E" w:rsidR="003300F2" w:rsidRPr="00A92CED" w:rsidRDefault="003300F2" w:rsidP="00C37393">
            <w:pPr>
              <w:pStyle w:val="ListParagraph"/>
              <w:numPr>
                <w:ilvl w:val="0"/>
                <w:numId w:val="25"/>
              </w:numPr>
              <w:rPr>
                <w:lang w:val="fr-CA"/>
              </w:rPr>
            </w:pPr>
            <w:r w:rsidRPr="00A92CED">
              <w:rPr>
                <w:lang w:val="fr-CA"/>
              </w:rPr>
              <w:t xml:space="preserve">les procédures d’exploitation que le conducteur est en mesure d’effectuer; </w:t>
            </w:r>
          </w:p>
          <w:p w14:paraId="384FB47E" w14:textId="0D27ED0B" w:rsidR="003300F2" w:rsidRPr="00A92CED" w:rsidRDefault="003300F2" w:rsidP="00C37393">
            <w:pPr>
              <w:pStyle w:val="ListParagraph"/>
              <w:numPr>
                <w:ilvl w:val="0"/>
                <w:numId w:val="25"/>
              </w:numPr>
              <w:rPr>
                <w:lang w:val="fr-CA"/>
              </w:rPr>
            </w:pPr>
            <w:r w:rsidRPr="00A92CED">
              <w:rPr>
                <w:lang w:val="fr-CA"/>
              </w:rPr>
              <w:t>la date d’expiration de l’attestation de formation du conducteur.</w:t>
            </w:r>
          </w:p>
        </w:tc>
        <w:tc>
          <w:tcPr>
            <w:tcW w:w="3143" w:type="dxa"/>
            <w:gridSpan w:val="2"/>
          </w:tcPr>
          <w:p w14:paraId="64CC14F9" w14:textId="5E390A2D" w:rsidR="003300F2" w:rsidRPr="00A92CED" w:rsidRDefault="003300F2" w:rsidP="00B811AC">
            <w:pPr>
              <w:rPr>
                <w:lang w:val="fr-CA"/>
              </w:rPr>
            </w:pPr>
            <w:r w:rsidRPr="00A92CED">
              <w:rPr>
                <w:rFonts w:cstheme="minorHAnsi"/>
                <w:lang w:val="fr-CA"/>
              </w:rPr>
              <w:t>Cet amendement proposé appuie l’intention de la politique d’ajouter des exigences de permis de transport à la partie 9 et permettraient de s’assurer qu’il existe une preuve que les conducteurs transportant des explosifs ont reçu une formation sur cette activité.</w:t>
            </w:r>
          </w:p>
        </w:tc>
        <w:tc>
          <w:tcPr>
            <w:tcW w:w="3087" w:type="dxa"/>
          </w:tcPr>
          <w:p w14:paraId="044D798A" w14:textId="77777777" w:rsidR="003300F2" w:rsidRPr="00A92CED" w:rsidRDefault="003300F2" w:rsidP="00B811AC">
            <w:pPr>
              <w:rPr>
                <w:lang w:val="fr-CA"/>
              </w:rPr>
            </w:pPr>
          </w:p>
        </w:tc>
      </w:tr>
      <w:tr w:rsidR="00A92CED" w:rsidRPr="00A92CED" w14:paraId="0CA78108" w14:textId="77777777" w:rsidTr="00E10233">
        <w:tc>
          <w:tcPr>
            <w:tcW w:w="3126" w:type="dxa"/>
          </w:tcPr>
          <w:p w14:paraId="6683001B" w14:textId="77777777" w:rsidR="003300F2" w:rsidRPr="00A92CED" w:rsidRDefault="003300F2" w:rsidP="00B811AC">
            <w:pPr>
              <w:pStyle w:val="ListParagraph"/>
              <w:numPr>
                <w:ilvl w:val="0"/>
                <w:numId w:val="1"/>
              </w:numPr>
              <w:jc w:val="center"/>
              <w:rPr>
                <w:lang w:val="fr-CA"/>
              </w:rPr>
            </w:pPr>
          </w:p>
        </w:tc>
        <w:tc>
          <w:tcPr>
            <w:tcW w:w="3715" w:type="dxa"/>
          </w:tcPr>
          <w:p w14:paraId="4AA7E80C" w14:textId="112B08A7" w:rsidR="003300F2" w:rsidRPr="00A92CED" w:rsidRDefault="003300F2" w:rsidP="00B811AC">
            <w:pPr>
              <w:rPr>
                <w:b/>
                <w:lang w:val="fr-CA"/>
              </w:rPr>
            </w:pPr>
            <w:r w:rsidRPr="00A92CED">
              <w:rPr>
                <w:b/>
                <w:lang w:val="fr-CA"/>
              </w:rPr>
              <w:t>NOUVEAU</w:t>
            </w:r>
          </w:p>
        </w:tc>
        <w:tc>
          <w:tcPr>
            <w:tcW w:w="4076" w:type="dxa"/>
          </w:tcPr>
          <w:p w14:paraId="2D2ACFDB" w14:textId="31CDC112" w:rsidR="003300F2" w:rsidRPr="00A92CED" w:rsidRDefault="003300F2" w:rsidP="00A607BA">
            <w:pPr>
              <w:rPr>
                <w:lang w:val="fr-CA"/>
              </w:rPr>
            </w:pPr>
            <w:r w:rsidRPr="00A92CED">
              <w:rPr>
                <w:lang w:val="fr-CA"/>
              </w:rPr>
              <w:t>Modifier la partie 9 pour ajouter les nouvelles exigences ci-après :</w:t>
            </w:r>
          </w:p>
          <w:p w14:paraId="5E74C1A0" w14:textId="3FA44FB7" w:rsidR="003300F2" w:rsidRPr="00A92CED" w:rsidRDefault="003300F2" w:rsidP="00A607BA">
            <w:pPr>
              <w:pStyle w:val="ListParagraph"/>
              <w:numPr>
                <w:ilvl w:val="0"/>
                <w:numId w:val="25"/>
              </w:numPr>
              <w:rPr>
                <w:lang w:val="fr-CA"/>
              </w:rPr>
            </w:pPr>
            <w:r w:rsidRPr="00A92CED">
              <w:rPr>
                <w:lang w:val="fr-CA"/>
              </w:rPr>
              <w:t>La durée de validité de l’attestation de formation du conducteur sur le transport d’explosifs est d’au plus cinq ans après la date de l’attestation;</w:t>
            </w:r>
          </w:p>
          <w:p w14:paraId="267DDED7" w14:textId="1BBEEE38" w:rsidR="003300F2" w:rsidRPr="00A92CED" w:rsidRDefault="003300F2" w:rsidP="005A3D65">
            <w:pPr>
              <w:pStyle w:val="ListParagraph"/>
              <w:numPr>
                <w:ilvl w:val="0"/>
                <w:numId w:val="25"/>
              </w:numPr>
              <w:rPr>
                <w:lang w:val="fr-CA"/>
              </w:rPr>
            </w:pPr>
            <w:r w:rsidRPr="00A92CED">
              <w:rPr>
                <w:lang w:val="fr-CA"/>
              </w:rPr>
              <w:lastRenderedPageBreak/>
              <w:t>En cas de modification des procédures d’exploitation pour lesquelles le conducteur a reçu l’attestation, celui-ci suit une nouvelle formation sur les nouvelles procédures d’exploitation mais la date d’expiration de l’attestation demeure inchangée.</w:t>
            </w:r>
          </w:p>
        </w:tc>
        <w:tc>
          <w:tcPr>
            <w:tcW w:w="3143" w:type="dxa"/>
            <w:gridSpan w:val="2"/>
          </w:tcPr>
          <w:p w14:paraId="45DAA6B6" w14:textId="2FB41178" w:rsidR="003300F2" w:rsidRPr="00A92CED" w:rsidRDefault="003300F2" w:rsidP="00B811AC">
            <w:pPr>
              <w:rPr>
                <w:lang w:val="fr-CA"/>
              </w:rPr>
            </w:pPr>
            <w:r w:rsidRPr="00A92CED">
              <w:rPr>
                <w:rFonts w:cstheme="minorHAnsi"/>
                <w:lang w:val="fr-CA"/>
              </w:rPr>
              <w:lastRenderedPageBreak/>
              <w:t xml:space="preserve">Cet amendement proposé appuie l’intention de la politique d’ajouter de nouvelles exigences de permis de transport à la partie 9 et permettrait de s’assurer que la formation reçue par les conducteurs qui </w:t>
            </w:r>
            <w:r w:rsidRPr="00A92CED">
              <w:rPr>
                <w:rFonts w:cstheme="minorHAnsi"/>
                <w:lang w:val="fr-CA"/>
              </w:rPr>
              <w:lastRenderedPageBreak/>
              <w:t>transportent des explosifs est à jour et a lieu régulièrement.</w:t>
            </w:r>
          </w:p>
        </w:tc>
        <w:tc>
          <w:tcPr>
            <w:tcW w:w="3087" w:type="dxa"/>
          </w:tcPr>
          <w:p w14:paraId="703A6E54" w14:textId="77777777" w:rsidR="003300F2" w:rsidRPr="00A92CED" w:rsidRDefault="003300F2" w:rsidP="00B811AC">
            <w:pPr>
              <w:rPr>
                <w:lang w:val="fr-CA"/>
              </w:rPr>
            </w:pPr>
          </w:p>
        </w:tc>
      </w:tr>
      <w:tr w:rsidR="00A92CED" w:rsidRPr="00A92CED" w14:paraId="0DDE8806" w14:textId="77777777" w:rsidTr="00E10233">
        <w:tc>
          <w:tcPr>
            <w:tcW w:w="3126" w:type="dxa"/>
          </w:tcPr>
          <w:p w14:paraId="110DD4C5" w14:textId="77777777" w:rsidR="003300F2" w:rsidRPr="00A92CED" w:rsidRDefault="003300F2" w:rsidP="00B811AC">
            <w:pPr>
              <w:pStyle w:val="ListParagraph"/>
              <w:numPr>
                <w:ilvl w:val="0"/>
                <w:numId w:val="1"/>
              </w:numPr>
              <w:jc w:val="center"/>
              <w:rPr>
                <w:lang w:val="fr-CA"/>
              </w:rPr>
            </w:pPr>
          </w:p>
        </w:tc>
        <w:tc>
          <w:tcPr>
            <w:tcW w:w="3715" w:type="dxa"/>
          </w:tcPr>
          <w:p w14:paraId="5AA83A45" w14:textId="3AF7B2BE" w:rsidR="003300F2" w:rsidRPr="00A92CED" w:rsidRDefault="003300F2" w:rsidP="00B811AC">
            <w:pPr>
              <w:rPr>
                <w:b/>
                <w:lang w:val="fr-CA"/>
              </w:rPr>
            </w:pPr>
            <w:r w:rsidRPr="00A92CED">
              <w:rPr>
                <w:b/>
                <w:lang w:val="fr-CA"/>
              </w:rPr>
              <w:t>NOUVEAU</w:t>
            </w:r>
          </w:p>
        </w:tc>
        <w:tc>
          <w:tcPr>
            <w:tcW w:w="4076" w:type="dxa"/>
          </w:tcPr>
          <w:p w14:paraId="2F6F3FA7" w14:textId="7EDBE0D8" w:rsidR="003300F2" w:rsidRPr="00A92CED" w:rsidRDefault="003300F2" w:rsidP="005A3D65">
            <w:pPr>
              <w:rPr>
                <w:lang w:val="fr-CA"/>
              </w:rPr>
            </w:pPr>
            <w:r w:rsidRPr="00A92CED">
              <w:rPr>
                <w:lang w:val="fr-CA"/>
              </w:rPr>
              <w:t>Modifier la partie 9 pour ajouter les nouvelles exigences ci-après :</w:t>
            </w:r>
          </w:p>
          <w:p w14:paraId="31AC3842" w14:textId="1D0E0BCD" w:rsidR="003300F2" w:rsidRPr="00A92CED" w:rsidRDefault="003300F2" w:rsidP="005A3D65">
            <w:pPr>
              <w:pStyle w:val="ListParagraph"/>
              <w:numPr>
                <w:ilvl w:val="0"/>
                <w:numId w:val="25"/>
              </w:numPr>
              <w:rPr>
                <w:lang w:val="fr-CA"/>
              </w:rPr>
            </w:pPr>
            <w:r w:rsidRPr="00A92CED">
              <w:rPr>
                <w:lang w:val="fr-CA"/>
              </w:rPr>
              <w:t>Un dossier de formation et un relevé de l’expérience de travail sont créés et tenus à jour pour chaque conducteur qui a accès à un explosif à risque élevé;</w:t>
            </w:r>
          </w:p>
          <w:p w14:paraId="02D04575" w14:textId="78472B2C" w:rsidR="003300F2" w:rsidRPr="00A92CED" w:rsidRDefault="003300F2" w:rsidP="005A3D65">
            <w:pPr>
              <w:pStyle w:val="ListParagraph"/>
              <w:numPr>
                <w:ilvl w:val="0"/>
                <w:numId w:val="25"/>
              </w:numPr>
              <w:rPr>
                <w:lang w:val="fr-CA"/>
              </w:rPr>
            </w:pPr>
            <w:r w:rsidRPr="00A92CED">
              <w:rPr>
                <w:lang w:val="fr-CA"/>
              </w:rPr>
              <w:t>Ces documents sont conservés pendant deux ans après la date d’expiration de l’attestation du conducteur.</w:t>
            </w:r>
          </w:p>
        </w:tc>
        <w:tc>
          <w:tcPr>
            <w:tcW w:w="3143" w:type="dxa"/>
            <w:gridSpan w:val="2"/>
          </w:tcPr>
          <w:p w14:paraId="0B054B8F" w14:textId="11700F52" w:rsidR="003300F2" w:rsidRPr="00A92CED" w:rsidRDefault="003300F2" w:rsidP="00B811AC">
            <w:pPr>
              <w:rPr>
                <w:lang w:val="fr-CA"/>
              </w:rPr>
            </w:pPr>
            <w:r w:rsidRPr="00A92CED">
              <w:rPr>
                <w:rFonts w:cstheme="minorHAnsi"/>
                <w:lang w:val="fr-CA"/>
              </w:rPr>
              <w:t>Cet amendement proposé appuie l’intention de la politique d’ajouter de nouvelles exigences de permis de transport à la partie 9 et permettrait de s’assurer qu’un dossier de formation des conducteurs qui transportent des explosifs est conservé.</w:t>
            </w:r>
          </w:p>
        </w:tc>
        <w:tc>
          <w:tcPr>
            <w:tcW w:w="3087" w:type="dxa"/>
          </w:tcPr>
          <w:p w14:paraId="65306D50" w14:textId="77777777" w:rsidR="003300F2" w:rsidRPr="00A92CED" w:rsidRDefault="003300F2" w:rsidP="00B811AC">
            <w:pPr>
              <w:rPr>
                <w:lang w:val="fr-CA"/>
              </w:rPr>
            </w:pPr>
          </w:p>
        </w:tc>
      </w:tr>
      <w:tr w:rsidR="00A92CED" w:rsidRPr="00A92CED" w14:paraId="7E0B666D" w14:textId="77777777" w:rsidTr="00E10233">
        <w:tc>
          <w:tcPr>
            <w:tcW w:w="3126" w:type="dxa"/>
          </w:tcPr>
          <w:p w14:paraId="2D14FCF0" w14:textId="77777777" w:rsidR="003300F2" w:rsidRPr="00A92CED" w:rsidRDefault="003300F2" w:rsidP="00B811AC">
            <w:pPr>
              <w:pStyle w:val="ListParagraph"/>
              <w:numPr>
                <w:ilvl w:val="0"/>
                <w:numId w:val="1"/>
              </w:numPr>
              <w:jc w:val="center"/>
              <w:rPr>
                <w:lang w:val="fr-CA"/>
              </w:rPr>
            </w:pPr>
          </w:p>
        </w:tc>
        <w:tc>
          <w:tcPr>
            <w:tcW w:w="3715" w:type="dxa"/>
          </w:tcPr>
          <w:p w14:paraId="193843DA" w14:textId="4B90EA78" w:rsidR="003300F2" w:rsidRPr="00A92CED" w:rsidRDefault="003300F2" w:rsidP="00B811AC">
            <w:pPr>
              <w:rPr>
                <w:b/>
                <w:lang w:val="fr-CA"/>
              </w:rPr>
            </w:pPr>
            <w:r w:rsidRPr="00A92CED">
              <w:rPr>
                <w:b/>
                <w:lang w:val="fr-CA"/>
              </w:rPr>
              <w:t>NOUVEAU</w:t>
            </w:r>
          </w:p>
        </w:tc>
        <w:tc>
          <w:tcPr>
            <w:tcW w:w="4076" w:type="dxa"/>
          </w:tcPr>
          <w:p w14:paraId="1E8FD2AC" w14:textId="46406CF1" w:rsidR="003300F2" w:rsidRPr="00A92CED" w:rsidRDefault="003300F2" w:rsidP="00B811AC">
            <w:pPr>
              <w:rPr>
                <w:lang w:val="fr-CA"/>
              </w:rPr>
            </w:pPr>
            <w:r w:rsidRPr="00A92CED">
              <w:rPr>
                <w:lang w:val="fr-CA"/>
              </w:rPr>
              <w:t>Modifier la partie 9 pour ajouter une nouvelle exigence stipulant que le demandeur d’un permis de transport doit payer les droits applicables prévus à la partie 19.</w:t>
            </w:r>
          </w:p>
        </w:tc>
        <w:tc>
          <w:tcPr>
            <w:tcW w:w="3143" w:type="dxa"/>
            <w:gridSpan w:val="2"/>
          </w:tcPr>
          <w:p w14:paraId="0E91C71C" w14:textId="5AD8BDC1" w:rsidR="003300F2" w:rsidRPr="00A92CED" w:rsidRDefault="003300F2" w:rsidP="00B811AC">
            <w:pPr>
              <w:rPr>
                <w:lang w:val="fr-CA"/>
              </w:rPr>
            </w:pPr>
            <w:r w:rsidRPr="00A92CED">
              <w:rPr>
                <w:rFonts w:cstheme="minorHAnsi"/>
                <w:lang w:val="fr-CA"/>
              </w:rPr>
              <w:t>Cet amendement proposé appuie l’intention de la politique d’ajouter de nouvelles exigences de permis de transport à la partie 9 et permettrait de s’assurer que des droits sont perçus pour ces permis de transport.</w:t>
            </w:r>
          </w:p>
        </w:tc>
        <w:tc>
          <w:tcPr>
            <w:tcW w:w="3087" w:type="dxa"/>
          </w:tcPr>
          <w:p w14:paraId="0990409C" w14:textId="77777777" w:rsidR="003300F2" w:rsidRPr="00A92CED" w:rsidRDefault="003300F2" w:rsidP="00B811AC">
            <w:pPr>
              <w:rPr>
                <w:lang w:val="fr-CA"/>
              </w:rPr>
            </w:pPr>
          </w:p>
        </w:tc>
      </w:tr>
      <w:tr w:rsidR="00A92CED" w:rsidRPr="00A92CED" w14:paraId="0C16D455" w14:textId="77777777" w:rsidTr="00E10233">
        <w:tc>
          <w:tcPr>
            <w:tcW w:w="3126" w:type="dxa"/>
          </w:tcPr>
          <w:p w14:paraId="166567ED" w14:textId="77777777" w:rsidR="003300F2" w:rsidRPr="00A92CED" w:rsidRDefault="003300F2" w:rsidP="00B811AC">
            <w:pPr>
              <w:pStyle w:val="ListParagraph"/>
              <w:numPr>
                <w:ilvl w:val="0"/>
                <w:numId w:val="1"/>
              </w:numPr>
              <w:jc w:val="center"/>
              <w:rPr>
                <w:lang w:val="fr-CA"/>
              </w:rPr>
            </w:pPr>
          </w:p>
        </w:tc>
        <w:tc>
          <w:tcPr>
            <w:tcW w:w="3715" w:type="dxa"/>
          </w:tcPr>
          <w:p w14:paraId="4B509A2E" w14:textId="117FCBAC" w:rsidR="003300F2" w:rsidRPr="00A92CED" w:rsidRDefault="003300F2" w:rsidP="00B811AC">
            <w:pPr>
              <w:rPr>
                <w:b/>
                <w:lang w:val="fr-CA"/>
              </w:rPr>
            </w:pPr>
            <w:r w:rsidRPr="00A92CED">
              <w:rPr>
                <w:b/>
                <w:lang w:val="fr-CA"/>
              </w:rPr>
              <w:t>NOUVEAU</w:t>
            </w:r>
          </w:p>
        </w:tc>
        <w:tc>
          <w:tcPr>
            <w:tcW w:w="4076" w:type="dxa"/>
          </w:tcPr>
          <w:p w14:paraId="65A46932" w14:textId="72A77012" w:rsidR="003300F2" w:rsidRPr="00A92CED" w:rsidRDefault="003300F2" w:rsidP="00876E4F">
            <w:pPr>
              <w:rPr>
                <w:lang w:val="fr-CA"/>
              </w:rPr>
            </w:pPr>
            <w:r w:rsidRPr="00A92CED">
              <w:rPr>
                <w:lang w:val="fr-CA"/>
              </w:rPr>
              <w:t>Modifier la partie 9 pour ajouter les nouvelles exigences ci-après :</w:t>
            </w:r>
          </w:p>
          <w:p w14:paraId="6F649C8C" w14:textId="3CA5B081" w:rsidR="003300F2" w:rsidRPr="00A92CED" w:rsidRDefault="003300F2" w:rsidP="00876E4F">
            <w:pPr>
              <w:pStyle w:val="ListParagraph"/>
              <w:numPr>
                <w:ilvl w:val="0"/>
                <w:numId w:val="27"/>
              </w:numPr>
              <w:contextualSpacing w:val="0"/>
              <w:rPr>
                <w:rFonts w:cstheme="minorHAnsi"/>
                <w:lang w:val="fr-CA"/>
              </w:rPr>
            </w:pPr>
            <w:r w:rsidRPr="00A92CED">
              <w:rPr>
                <w:bCs/>
                <w:lang w:val="fr-CA"/>
              </w:rPr>
              <w:t xml:space="preserve">Avant d’embaucher un transporteur pour transporter des explosifs, l’expéditeur doit vérifier </w:t>
            </w:r>
            <w:r w:rsidRPr="00A92CED">
              <w:rPr>
                <w:bCs/>
                <w:lang w:val="fr-CA"/>
              </w:rPr>
              <w:lastRenderedPageBreak/>
              <w:t>que le transporteur a un permis de transport valide;</w:t>
            </w:r>
            <w:r w:rsidRPr="00A92CED">
              <w:rPr>
                <w:rFonts w:cstheme="minorHAnsi"/>
                <w:lang w:val="fr-CA"/>
              </w:rPr>
              <w:t xml:space="preserve"> </w:t>
            </w:r>
          </w:p>
          <w:p w14:paraId="01D68A98" w14:textId="310C9B59" w:rsidR="003300F2" w:rsidRPr="00A92CED" w:rsidRDefault="003300F2" w:rsidP="00876E4F">
            <w:pPr>
              <w:pStyle w:val="ListParagraph"/>
              <w:numPr>
                <w:ilvl w:val="0"/>
                <w:numId w:val="27"/>
              </w:numPr>
              <w:contextualSpacing w:val="0"/>
              <w:rPr>
                <w:rFonts w:cstheme="minorHAnsi"/>
                <w:lang w:val="fr-CA"/>
              </w:rPr>
            </w:pPr>
            <w:r w:rsidRPr="00A92CED">
              <w:rPr>
                <w:rFonts w:cstheme="minorHAnsi"/>
                <w:lang w:val="fr-CA"/>
              </w:rPr>
              <w:t>L’expéditeur doit conserver, pendant deux ans à compter de la date d’embauche, un registre de chaque embauche d’un transporteur contenant les renseignements ci-après :</w:t>
            </w:r>
          </w:p>
          <w:p w14:paraId="1E8F93B5" w14:textId="4DF7420D" w:rsidR="003300F2" w:rsidRPr="00A92CED" w:rsidRDefault="003300F2" w:rsidP="00876E4F">
            <w:pPr>
              <w:pStyle w:val="ListParagraph"/>
              <w:numPr>
                <w:ilvl w:val="1"/>
                <w:numId w:val="26"/>
              </w:numPr>
              <w:contextualSpacing w:val="0"/>
              <w:rPr>
                <w:rFonts w:cstheme="minorHAnsi"/>
                <w:lang w:val="fr-CA"/>
              </w:rPr>
            </w:pPr>
            <w:r w:rsidRPr="00A92CED">
              <w:rPr>
                <w:rFonts w:cstheme="minorHAnsi"/>
                <w:lang w:val="fr-CA"/>
              </w:rPr>
              <w:t>le numéro et la date d’expiration du permis valide du transporteur;</w:t>
            </w:r>
          </w:p>
          <w:p w14:paraId="052239DC" w14:textId="53B1C3E6" w:rsidR="003300F2" w:rsidRPr="00A92CED" w:rsidRDefault="003300F2" w:rsidP="00876E4F">
            <w:pPr>
              <w:pStyle w:val="ListParagraph"/>
              <w:numPr>
                <w:ilvl w:val="1"/>
                <w:numId w:val="26"/>
              </w:numPr>
              <w:contextualSpacing w:val="0"/>
              <w:rPr>
                <w:rFonts w:cstheme="minorHAnsi"/>
                <w:lang w:val="fr-CA"/>
              </w:rPr>
            </w:pPr>
            <w:r w:rsidRPr="00A92CED">
              <w:rPr>
                <w:rFonts w:cstheme="minorHAnsi"/>
                <w:lang w:val="fr-CA"/>
              </w:rPr>
              <w:t xml:space="preserve">le type et le nom de produit des explosifs transportés; </w:t>
            </w:r>
          </w:p>
          <w:p w14:paraId="647C2F76" w14:textId="23AFC817" w:rsidR="003300F2" w:rsidRPr="00A92CED" w:rsidRDefault="003300F2" w:rsidP="00876E4F">
            <w:pPr>
              <w:pStyle w:val="ListParagraph"/>
              <w:numPr>
                <w:ilvl w:val="1"/>
                <w:numId w:val="26"/>
              </w:numPr>
              <w:contextualSpacing w:val="0"/>
              <w:rPr>
                <w:rFonts w:cstheme="minorHAnsi"/>
                <w:lang w:val="fr-CA"/>
              </w:rPr>
            </w:pPr>
            <w:r w:rsidRPr="00A92CED">
              <w:rPr>
                <w:rFonts w:cstheme="minorHAnsi"/>
                <w:lang w:val="fr-CA"/>
              </w:rPr>
              <w:t>la quantité d’explosifs transportés dans chaque expédition;</w:t>
            </w:r>
          </w:p>
          <w:p w14:paraId="6E37C18E" w14:textId="3937F566" w:rsidR="003300F2" w:rsidRPr="00A92CED" w:rsidRDefault="003300F2" w:rsidP="00876E4F">
            <w:pPr>
              <w:pStyle w:val="ListParagraph"/>
              <w:numPr>
                <w:ilvl w:val="1"/>
                <w:numId w:val="26"/>
              </w:numPr>
              <w:contextualSpacing w:val="0"/>
              <w:rPr>
                <w:lang w:val="fr-CA"/>
              </w:rPr>
            </w:pPr>
            <w:r w:rsidRPr="00A92CED">
              <w:rPr>
                <w:rFonts w:cstheme="minorHAnsi"/>
                <w:lang w:val="fr-CA"/>
              </w:rPr>
              <w:t>Les dates de transport.</w:t>
            </w:r>
          </w:p>
        </w:tc>
        <w:tc>
          <w:tcPr>
            <w:tcW w:w="3143" w:type="dxa"/>
            <w:gridSpan w:val="2"/>
          </w:tcPr>
          <w:p w14:paraId="6C096589" w14:textId="350B44BA" w:rsidR="003300F2" w:rsidRPr="00A92CED" w:rsidRDefault="003300F2" w:rsidP="00B811AC">
            <w:pPr>
              <w:rPr>
                <w:lang w:val="fr-CA"/>
              </w:rPr>
            </w:pPr>
            <w:r w:rsidRPr="00A92CED">
              <w:rPr>
                <w:lang w:val="fr-CA"/>
              </w:rPr>
              <w:lastRenderedPageBreak/>
              <w:t xml:space="preserve">Ces amendements proposés appuient l’intention de la politique d’ajouter des exigences de permis de transport à la partie 9 et </w:t>
            </w:r>
            <w:r w:rsidRPr="00A92CED">
              <w:rPr>
                <w:lang w:val="fr-CA"/>
              </w:rPr>
              <w:lastRenderedPageBreak/>
              <w:t>obligeraient les expéditeurs à vérifier que les transporteurs sont titulaires d’un permis de transport avant qu’ils ne soient embauchés pour transporter des explosifs.</w:t>
            </w:r>
          </w:p>
        </w:tc>
        <w:tc>
          <w:tcPr>
            <w:tcW w:w="3087" w:type="dxa"/>
          </w:tcPr>
          <w:p w14:paraId="3F8929D6" w14:textId="77777777" w:rsidR="003300F2" w:rsidRPr="00A92CED" w:rsidRDefault="003300F2" w:rsidP="00B811AC">
            <w:pPr>
              <w:rPr>
                <w:lang w:val="fr-CA"/>
              </w:rPr>
            </w:pPr>
          </w:p>
        </w:tc>
      </w:tr>
      <w:tr w:rsidR="00A92CED" w:rsidRPr="00A92CED" w14:paraId="21052842" w14:textId="77777777" w:rsidTr="00434DC7">
        <w:tc>
          <w:tcPr>
            <w:tcW w:w="17147" w:type="dxa"/>
            <w:gridSpan w:val="6"/>
            <w:shd w:val="clear" w:color="auto" w:fill="D9D9D9" w:themeFill="background1" w:themeFillShade="D9"/>
          </w:tcPr>
          <w:p w14:paraId="7F8EB6BB" w14:textId="36B22F18" w:rsidR="003300F2" w:rsidRPr="00A92CED" w:rsidRDefault="003300F2" w:rsidP="00434DC7">
            <w:pPr>
              <w:spacing w:before="60" w:after="60"/>
              <w:jc w:val="center"/>
              <w:rPr>
                <w:lang w:val="fr-CA"/>
              </w:rPr>
            </w:pPr>
            <w:r w:rsidRPr="00A92CED">
              <w:rPr>
                <w:rFonts w:ascii="Arial" w:hAnsi="Arial" w:cs="Arial"/>
                <w:b/>
                <w:sz w:val="24"/>
                <w:szCs w:val="24"/>
                <w:lang w:val="fr-CA"/>
              </w:rPr>
              <w:t>PARTIE 10 – Explosifs destinés à des fins militaires et explosifs destinés à des fins d’application de la loi</w:t>
            </w:r>
          </w:p>
        </w:tc>
      </w:tr>
      <w:tr w:rsidR="00A92CED" w:rsidRPr="00A92CED" w14:paraId="673B4D86" w14:textId="77777777" w:rsidTr="00E10233">
        <w:tc>
          <w:tcPr>
            <w:tcW w:w="3126" w:type="dxa"/>
          </w:tcPr>
          <w:p w14:paraId="1AC009CF" w14:textId="77777777" w:rsidR="003300F2" w:rsidRPr="00A92CED" w:rsidRDefault="003300F2" w:rsidP="00AA1C24">
            <w:pPr>
              <w:pStyle w:val="ListParagraph"/>
              <w:numPr>
                <w:ilvl w:val="0"/>
                <w:numId w:val="1"/>
              </w:numPr>
              <w:jc w:val="center"/>
              <w:rPr>
                <w:lang w:val="fr-CA"/>
              </w:rPr>
            </w:pPr>
          </w:p>
        </w:tc>
        <w:tc>
          <w:tcPr>
            <w:tcW w:w="3715" w:type="dxa"/>
          </w:tcPr>
          <w:p w14:paraId="09395128" w14:textId="6FD859AC" w:rsidR="003300F2" w:rsidRPr="00A92CED" w:rsidRDefault="003300F2" w:rsidP="00AA1C24">
            <w:pPr>
              <w:rPr>
                <w:rFonts w:ascii="Calibri" w:hAnsi="Calibri" w:cs="Calibri"/>
                <w:lang w:val="fr-CA"/>
              </w:rPr>
            </w:pPr>
            <w:r w:rsidRPr="00A92CED">
              <w:rPr>
                <w:rFonts w:ascii="Calibri" w:hAnsi="Calibri" w:cs="Calibri"/>
                <w:b/>
                <w:bCs/>
                <w:lang w:val="fr-CA"/>
              </w:rPr>
              <w:t xml:space="preserve">205 </w:t>
            </w:r>
            <w:r w:rsidRPr="00A92CED">
              <w:rPr>
                <w:rFonts w:ascii="Calibri" w:hAnsi="Calibri" w:cs="Calibri"/>
                <w:lang w:val="fr-CA"/>
              </w:rPr>
              <w:t>Les définitions qui suivent s’appliquent à la présente partie.</w:t>
            </w:r>
          </w:p>
          <w:p w14:paraId="33C11088" w14:textId="77777777" w:rsidR="003300F2" w:rsidRPr="00A92CED" w:rsidRDefault="003300F2" w:rsidP="00AA1C24">
            <w:pPr>
              <w:rPr>
                <w:rFonts w:ascii="Calibri" w:hAnsi="Calibri" w:cs="Calibri"/>
                <w:lang w:val="fr-CA"/>
              </w:rPr>
            </w:pPr>
          </w:p>
          <w:p w14:paraId="5444F7C1" w14:textId="285FA147" w:rsidR="003300F2" w:rsidRPr="00A92CED" w:rsidRDefault="003300F2" w:rsidP="00AA1C24">
            <w:pPr>
              <w:ind w:left="720"/>
              <w:rPr>
                <w:b/>
                <w:lang w:val="fr-CA"/>
              </w:rPr>
            </w:pPr>
            <w:r w:rsidRPr="00A92CED">
              <w:rPr>
                <w:rFonts w:ascii="Calibri" w:hAnsi="Calibri" w:cs="Calibri"/>
                <w:b/>
                <w:bCs/>
                <w:i/>
                <w:iCs/>
                <w:lang w:val="fr-CA"/>
              </w:rPr>
              <w:t xml:space="preserve">organisme d’application de la loi </w:t>
            </w:r>
            <w:r w:rsidRPr="00A92CED">
              <w:rPr>
                <w:rFonts w:ascii="Calibri" w:hAnsi="Calibri" w:cs="Calibri"/>
                <w:lang w:val="fr-CA"/>
              </w:rPr>
              <w:t>Service de police, Service correctionnel du Canada ou Agence des services frontaliers du Canada. (</w:t>
            </w:r>
            <w:r w:rsidRPr="00A92CED">
              <w:rPr>
                <w:rFonts w:ascii="Calibri" w:hAnsi="Calibri" w:cs="Calibri"/>
                <w:i/>
                <w:iCs/>
                <w:lang w:val="fr-CA"/>
              </w:rPr>
              <w:t>law enforcement agency</w:t>
            </w:r>
            <w:r w:rsidRPr="00A92CED">
              <w:rPr>
                <w:rFonts w:ascii="Calibri" w:hAnsi="Calibri" w:cs="Calibri"/>
                <w:lang w:val="fr-CA"/>
              </w:rPr>
              <w:t>)</w:t>
            </w:r>
          </w:p>
        </w:tc>
        <w:tc>
          <w:tcPr>
            <w:tcW w:w="4076" w:type="dxa"/>
          </w:tcPr>
          <w:p w14:paraId="74E191BC" w14:textId="01899A95" w:rsidR="003300F2" w:rsidRPr="00A92CED" w:rsidRDefault="003300F2" w:rsidP="00AA1C24">
            <w:pPr>
              <w:rPr>
                <w:lang w:val="fr-CA"/>
              </w:rPr>
            </w:pPr>
            <w:r w:rsidRPr="00A92CED">
              <w:rPr>
                <w:lang w:val="fr-CA"/>
              </w:rPr>
              <w:t>Modifier l’article 205 pour supprimer la définition d’un « organisme d’application de la loi ».</w:t>
            </w:r>
          </w:p>
        </w:tc>
        <w:tc>
          <w:tcPr>
            <w:tcW w:w="3143" w:type="dxa"/>
            <w:gridSpan w:val="2"/>
          </w:tcPr>
          <w:p w14:paraId="0CA0C559" w14:textId="0558A792" w:rsidR="003300F2" w:rsidRPr="00A92CED" w:rsidRDefault="003300F2" w:rsidP="00F15101">
            <w:pPr>
              <w:rPr>
                <w:lang w:val="fr-CA"/>
              </w:rPr>
            </w:pPr>
            <w:r w:rsidRPr="00A92CED">
              <w:rPr>
                <w:lang w:val="fr-CA"/>
              </w:rPr>
              <w:t>Cette proposition de modification est conforme au but de la politique consistant à supprimer la définition d’un « organisme d’application de la loi » de la Partie 10 et à ajouter une définition mise à jour d’un « organisme d’application de la loi » à la Partie 1 conformément au point 2 du présent document de consultation pour faire en sorte que la définition s’applique à l’ensemble du Règlement.</w:t>
            </w:r>
          </w:p>
        </w:tc>
        <w:tc>
          <w:tcPr>
            <w:tcW w:w="3087" w:type="dxa"/>
          </w:tcPr>
          <w:p w14:paraId="0EBF981D" w14:textId="77777777" w:rsidR="003300F2" w:rsidRPr="00A92CED" w:rsidRDefault="003300F2" w:rsidP="00AA1C24">
            <w:pPr>
              <w:rPr>
                <w:lang w:val="fr-CA"/>
              </w:rPr>
            </w:pPr>
          </w:p>
        </w:tc>
      </w:tr>
      <w:tr w:rsidR="00A92CED" w:rsidRPr="00A92CED" w14:paraId="7357BEB1" w14:textId="77777777" w:rsidTr="00E10233">
        <w:tc>
          <w:tcPr>
            <w:tcW w:w="3126" w:type="dxa"/>
          </w:tcPr>
          <w:p w14:paraId="788C8C35" w14:textId="77777777" w:rsidR="003300F2" w:rsidRPr="00A92CED" w:rsidRDefault="003300F2" w:rsidP="002044A0">
            <w:pPr>
              <w:pStyle w:val="ListParagraph"/>
              <w:numPr>
                <w:ilvl w:val="0"/>
                <w:numId w:val="1"/>
              </w:numPr>
              <w:jc w:val="center"/>
              <w:rPr>
                <w:lang w:val="fr-CA"/>
              </w:rPr>
            </w:pPr>
          </w:p>
        </w:tc>
        <w:tc>
          <w:tcPr>
            <w:tcW w:w="3715" w:type="dxa"/>
          </w:tcPr>
          <w:p w14:paraId="42EBBA6D" w14:textId="34FAE1F3" w:rsidR="003300F2" w:rsidRPr="00A92CED" w:rsidRDefault="003300F2" w:rsidP="002044A0">
            <w:pPr>
              <w:rPr>
                <w:rFonts w:ascii="Calibri" w:hAnsi="Calibri" w:cs="Calibri"/>
                <w:b/>
                <w:bCs/>
                <w:lang w:val="fr-CA"/>
              </w:rPr>
            </w:pPr>
            <w:r w:rsidRPr="00A92CED">
              <w:rPr>
                <w:rFonts w:ascii="Calibri" w:hAnsi="Calibri" w:cs="Calibri"/>
                <w:b/>
                <w:bCs/>
                <w:lang w:val="fr-CA"/>
              </w:rPr>
              <w:t>NOUVEAU</w:t>
            </w:r>
          </w:p>
        </w:tc>
        <w:tc>
          <w:tcPr>
            <w:tcW w:w="4076" w:type="dxa"/>
          </w:tcPr>
          <w:p w14:paraId="045824D6" w14:textId="581938C1" w:rsidR="003300F2" w:rsidRPr="00A92CED" w:rsidRDefault="003300F2" w:rsidP="002044A0">
            <w:pPr>
              <w:rPr>
                <w:rFonts w:cstheme="minorHAnsi"/>
                <w:lang w:val="fr-CA"/>
              </w:rPr>
            </w:pPr>
            <w:r w:rsidRPr="00A92CED">
              <w:rPr>
                <w:lang w:val="fr-CA"/>
              </w:rPr>
              <w:t xml:space="preserve">Ajouter à la Partie 10 une exigence selon laquelle un vendeur doit s’assurer que tout emballage ou contenant qui a été utilisé pour des explosifs de type D n’est pas réutilisé à moins que </w:t>
            </w:r>
            <w:r w:rsidRPr="00A92CED">
              <w:rPr>
                <w:rFonts w:cstheme="minorHAnsi"/>
                <w:lang w:val="fr-CA"/>
              </w:rPr>
              <w:t xml:space="preserve">: </w:t>
            </w:r>
          </w:p>
          <w:p w14:paraId="254A00A4" w14:textId="2EB342A7" w:rsidR="003300F2" w:rsidRPr="00A92CED" w:rsidRDefault="003300F2" w:rsidP="0002354F">
            <w:pPr>
              <w:pStyle w:val="ListParagraph"/>
              <w:numPr>
                <w:ilvl w:val="0"/>
                <w:numId w:val="27"/>
              </w:numPr>
              <w:contextualSpacing w:val="0"/>
              <w:rPr>
                <w:rFonts w:cstheme="minorHAnsi"/>
                <w:lang w:val="fr-CA"/>
              </w:rPr>
            </w:pPr>
            <w:r w:rsidRPr="00A92CED">
              <w:rPr>
                <w:rFonts w:cstheme="minorHAnsi"/>
                <w:lang w:val="fr-CA"/>
              </w:rPr>
              <w:t>La classification aux fins du transport des explosifs de type D reste inchangée;</w:t>
            </w:r>
          </w:p>
          <w:p w14:paraId="23075032" w14:textId="3F2586C9" w:rsidR="003300F2" w:rsidRPr="00A92CED" w:rsidRDefault="003300F2" w:rsidP="0002354F">
            <w:pPr>
              <w:pStyle w:val="ListParagraph"/>
              <w:numPr>
                <w:ilvl w:val="0"/>
                <w:numId w:val="27"/>
              </w:numPr>
              <w:contextualSpacing w:val="0"/>
              <w:rPr>
                <w:rFonts w:cstheme="minorHAnsi"/>
                <w:lang w:val="fr-CA"/>
              </w:rPr>
            </w:pPr>
            <w:r w:rsidRPr="00A92CED">
              <w:rPr>
                <w:rFonts w:cstheme="minorHAnsi"/>
                <w:lang w:val="fr-CA"/>
              </w:rPr>
              <w:t>Les explosifs de type D sont disposés dans l’emballage ou le contenant de manière à réduire au minimum leur mouvement pendant le transport;</w:t>
            </w:r>
          </w:p>
          <w:p w14:paraId="6A9C65FA" w14:textId="1E4E6877" w:rsidR="003300F2" w:rsidRPr="00A92CED" w:rsidRDefault="003300F2" w:rsidP="0002354F">
            <w:pPr>
              <w:pStyle w:val="ListParagraph"/>
              <w:numPr>
                <w:ilvl w:val="0"/>
                <w:numId w:val="27"/>
              </w:numPr>
              <w:contextualSpacing w:val="0"/>
              <w:rPr>
                <w:rFonts w:cstheme="minorHAnsi"/>
                <w:lang w:val="fr-CA"/>
              </w:rPr>
            </w:pPr>
            <w:r w:rsidRPr="00A92CED">
              <w:rPr>
                <w:rFonts w:cstheme="minorHAnsi"/>
                <w:lang w:val="fr-CA"/>
              </w:rPr>
              <w:t>L’emballage ou le contenant est fermé pour le transport de la même manière que lors de sa première utilisation;</w:t>
            </w:r>
          </w:p>
          <w:p w14:paraId="7DE5D70B" w14:textId="4631059F" w:rsidR="003300F2" w:rsidRPr="00A92CED" w:rsidRDefault="003300F2" w:rsidP="00B370DB">
            <w:pPr>
              <w:pStyle w:val="ListParagraph"/>
              <w:numPr>
                <w:ilvl w:val="0"/>
                <w:numId w:val="27"/>
              </w:numPr>
              <w:contextualSpacing w:val="0"/>
              <w:rPr>
                <w:rFonts w:cstheme="minorHAnsi"/>
                <w:lang w:val="fr-CA"/>
              </w:rPr>
            </w:pPr>
            <w:r w:rsidRPr="00A92CED">
              <w:rPr>
                <w:rFonts w:cstheme="minorHAnsi"/>
                <w:lang w:val="fr-CA"/>
              </w:rPr>
              <w:t>La masse des explosifs de type D est égale ou inférieure à la masse des explosifs lors de la première utilisation de l’emballage ou du contenant;</w:t>
            </w:r>
          </w:p>
          <w:p w14:paraId="685BB419" w14:textId="70B492BA" w:rsidR="003300F2" w:rsidRPr="00A92CED" w:rsidRDefault="003300F2" w:rsidP="002044A0">
            <w:pPr>
              <w:pStyle w:val="ListParagraph"/>
              <w:numPr>
                <w:ilvl w:val="0"/>
                <w:numId w:val="27"/>
              </w:numPr>
              <w:contextualSpacing w:val="0"/>
              <w:rPr>
                <w:rFonts w:cstheme="minorHAnsi"/>
                <w:lang w:val="fr-CA"/>
              </w:rPr>
            </w:pPr>
            <w:r w:rsidRPr="00A92CED">
              <w:rPr>
                <w:rFonts w:cstheme="minorHAnsi"/>
                <w:lang w:val="fr-CA"/>
              </w:rPr>
              <w:t>L’emballage ou le contenant ne présente aucun signe de dommage, de contamination ou de réduction de sa robustesse.</w:t>
            </w:r>
          </w:p>
        </w:tc>
        <w:tc>
          <w:tcPr>
            <w:tcW w:w="3143" w:type="dxa"/>
            <w:gridSpan w:val="2"/>
          </w:tcPr>
          <w:p w14:paraId="76C2BB0D" w14:textId="1CE7B581" w:rsidR="003300F2" w:rsidRPr="00A92CED" w:rsidRDefault="003300F2" w:rsidP="00B63279">
            <w:pPr>
              <w:rPr>
                <w:rFonts w:cstheme="minorHAnsi"/>
                <w:lang w:val="fr-CA"/>
              </w:rPr>
            </w:pPr>
            <w:r w:rsidRPr="00A92CED">
              <w:rPr>
                <w:rFonts w:cstheme="minorHAnsi"/>
                <w:lang w:val="fr-CA"/>
              </w:rPr>
              <w:t>Les exigences relatives à la réutilisation des emballages d’explosifs étaient contenues auparavant dans la norme sur l’emballage de Transports Canada (CGSB-43.151) du Règlement sur le TMD.</w:t>
            </w:r>
          </w:p>
          <w:p w14:paraId="278EE992" w14:textId="77777777" w:rsidR="003300F2" w:rsidRPr="00A92CED" w:rsidRDefault="003300F2" w:rsidP="00B63279">
            <w:pPr>
              <w:rPr>
                <w:rFonts w:cstheme="minorHAnsi"/>
                <w:lang w:val="fr-CA"/>
              </w:rPr>
            </w:pPr>
          </w:p>
          <w:p w14:paraId="198B3B8D" w14:textId="384F869D" w:rsidR="003300F2" w:rsidRPr="00A92CED" w:rsidRDefault="003300F2" w:rsidP="00B63279">
            <w:pPr>
              <w:rPr>
                <w:rFonts w:cstheme="minorHAnsi"/>
                <w:lang w:val="fr-CA"/>
              </w:rPr>
            </w:pPr>
            <w:r w:rsidRPr="00A92CED">
              <w:rPr>
                <w:rFonts w:cstheme="minorHAnsi"/>
                <w:lang w:val="fr-CA"/>
              </w:rPr>
              <w:t xml:space="preserve">À la suite de discussions entre Transports Canada et RNCan, il a été convenu de faire de la réglementation des exigences relatives à la réutilisation des emballages d’explosifs la responsabilité de RNCan plutôt que de  TC. Le pouvoir de réglementer cette question est conféré en vertu de l’alinéa 5 </w:t>
            </w:r>
            <w:r w:rsidRPr="00A92CED">
              <w:rPr>
                <w:rFonts w:cstheme="minorHAnsi"/>
                <w:i/>
                <w:iCs/>
                <w:lang w:val="fr-CA"/>
              </w:rPr>
              <w:t>c</w:t>
            </w:r>
            <w:r w:rsidRPr="00A92CED">
              <w:rPr>
                <w:rFonts w:cstheme="minorHAnsi"/>
                <w:lang w:val="fr-CA"/>
              </w:rPr>
              <w:t xml:space="preserve">) de la </w:t>
            </w:r>
            <w:r w:rsidRPr="00A92CED">
              <w:rPr>
                <w:rFonts w:cstheme="minorHAnsi"/>
                <w:i/>
                <w:iCs/>
                <w:lang w:val="fr-CA"/>
              </w:rPr>
              <w:t>Loi sur les explosifs</w:t>
            </w:r>
            <w:r w:rsidRPr="00A92CED">
              <w:rPr>
                <w:rFonts w:cstheme="minorHAnsi"/>
                <w:lang w:val="fr-CA"/>
              </w:rPr>
              <w:t>.</w:t>
            </w:r>
          </w:p>
          <w:p w14:paraId="21190E62" w14:textId="77777777" w:rsidR="003300F2" w:rsidRPr="00A92CED" w:rsidRDefault="003300F2" w:rsidP="002044A0">
            <w:pPr>
              <w:rPr>
                <w:lang w:val="fr-CA"/>
              </w:rPr>
            </w:pPr>
          </w:p>
        </w:tc>
        <w:tc>
          <w:tcPr>
            <w:tcW w:w="3087" w:type="dxa"/>
          </w:tcPr>
          <w:p w14:paraId="59497D46" w14:textId="77777777" w:rsidR="003300F2" w:rsidRPr="00A92CED" w:rsidRDefault="003300F2" w:rsidP="002044A0">
            <w:pPr>
              <w:rPr>
                <w:lang w:val="fr-CA"/>
              </w:rPr>
            </w:pPr>
          </w:p>
        </w:tc>
      </w:tr>
      <w:tr w:rsidR="00A92CED" w:rsidRPr="00A92CED" w14:paraId="66134D22" w14:textId="77777777" w:rsidTr="00E10233">
        <w:tc>
          <w:tcPr>
            <w:tcW w:w="3126" w:type="dxa"/>
          </w:tcPr>
          <w:p w14:paraId="0962F31D" w14:textId="77777777" w:rsidR="003300F2" w:rsidRPr="00A92CED" w:rsidRDefault="003300F2" w:rsidP="002044A0">
            <w:pPr>
              <w:pStyle w:val="ListParagraph"/>
              <w:numPr>
                <w:ilvl w:val="0"/>
                <w:numId w:val="1"/>
              </w:numPr>
              <w:jc w:val="center"/>
              <w:rPr>
                <w:lang w:val="fr-CA"/>
              </w:rPr>
            </w:pPr>
          </w:p>
        </w:tc>
        <w:tc>
          <w:tcPr>
            <w:tcW w:w="3715" w:type="dxa"/>
          </w:tcPr>
          <w:p w14:paraId="34155197" w14:textId="6218D8FF" w:rsidR="003300F2" w:rsidRPr="00A92CED" w:rsidRDefault="003300F2" w:rsidP="002044A0">
            <w:pPr>
              <w:rPr>
                <w:rFonts w:ascii="Calibri" w:hAnsi="Calibri" w:cs="Calibri"/>
                <w:b/>
                <w:bCs/>
                <w:lang w:val="fr-CA"/>
              </w:rPr>
            </w:pPr>
            <w:r w:rsidRPr="00A92CED">
              <w:rPr>
                <w:rFonts w:ascii="Calibri" w:hAnsi="Calibri" w:cs="Calibri"/>
                <w:b/>
                <w:bCs/>
                <w:lang w:val="fr-CA"/>
              </w:rPr>
              <w:t>NOUVEAU</w:t>
            </w:r>
          </w:p>
        </w:tc>
        <w:tc>
          <w:tcPr>
            <w:tcW w:w="4076" w:type="dxa"/>
          </w:tcPr>
          <w:p w14:paraId="0A95DEF0" w14:textId="5B71F918" w:rsidR="003300F2" w:rsidRPr="00A92CED" w:rsidRDefault="003300F2" w:rsidP="005E50B5">
            <w:pPr>
              <w:rPr>
                <w:rFonts w:cstheme="minorHAnsi"/>
                <w:lang w:val="fr-CA"/>
              </w:rPr>
            </w:pPr>
            <w:r w:rsidRPr="00A92CED">
              <w:rPr>
                <w:lang w:val="fr-CA"/>
              </w:rPr>
              <w:t xml:space="preserve">Ajouter à la Partie 10 une exigence selon laquelle un utilisateur doit s’assurer que tout emballage ou contenant qui a été utilisé pour des explosifs de type D n’est pas réutilisé à moins que </w:t>
            </w:r>
            <w:r w:rsidRPr="00A92CED">
              <w:rPr>
                <w:rFonts w:cstheme="minorHAnsi"/>
                <w:lang w:val="fr-CA"/>
              </w:rPr>
              <w:t xml:space="preserve">: </w:t>
            </w:r>
          </w:p>
          <w:p w14:paraId="32965469" w14:textId="77777777" w:rsidR="003300F2" w:rsidRPr="00A92CED" w:rsidRDefault="003300F2" w:rsidP="005E50B5">
            <w:pPr>
              <w:pStyle w:val="ListParagraph"/>
              <w:numPr>
                <w:ilvl w:val="0"/>
                <w:numId w:val="27"/>
              </w:numPr>
              <w:contextualSpacing w:val="0"/>
              <w:rPr>
                <w:rFonts w:cstheme="minorHAnsi"/>
                <w:lang w:val="fr-CA"/>
              </w:rPr>
            </w:pPr>
            <w:r w:rsidRPr="00A92CED">
              <w:rPr>
                <w:rFonts w:cstheme="minorHAnsi"/>
                <w:lang w:val="fr-CA"/>
              </w:rPr>
              <w:lastRenderedPageBreak/>
              <w:t>La classification aux fins du transport des explosifs de type D reste inchangée;</w:t>
            </w:r>
          </w:p>
          <w:p w14:paraId="4C3114F7" w14:textId="19D7A4EF" w:rsidR="003300F2" w:rsidRPr="00A92CED" w:rsidRDefault="003300F2" w:rsidP="005E50B5">
            <w:pPr>
              <w:pStyle w:val="ListParagraph"/>
              <w:numPr>
                <w:ilvl w:val="0"/>
                <w:numId w:val="27"/>
              </w:numPr>
              <w:contextualSpacing w:val="0"/>
              <w:rPr>
                <w:rFonts w:cstheme="minorHAnsi"/>
                <w:lang w:val="fr-CA"/>
              </w:rPr>
            </w:pPr>
            <w:r w:rsidRPr="00A92CED">
              <w:rPr>
                <w:rFonts w:cstheme="minorHAnsi"/>
                <w:lang w:val="fr-CA"/>
              </w:rPr>
              <w:t>Les explosifs de type D sont disposés dans l’emballage ou le contenant de manière à réduire au minimum leur mouvement pendant le transport;</w:t>
            </w:r>
          </w:p>
          <w:p w14:paraId="11FE12E3" w14:textId="0B354252" w:rsidR="003300F2" w:rsidRPr="00A92CED" w:rsidRDefault="003300F2" w:rsidP="005E50B5">
            <w:pPr>
              <w:pStyle w:val="ListParagraph"/>
              <w:numPr>
                <w:ilvl w:val="0"/>
                <w:numId w:val="27"/>
              </w:numPr>
              <w:contextualSpacing w:val="0"/>
              <w:rPr>
                <w:rFonts w:cstheme="minorHAnsi"/>
                <w:lang w:val="fr-CA"/>
              </w:rPr>
            </w:pPr>
            <w:r w:rsidRPr="00A92CED">
              <w:rPr>
                <w:rFonts w:cstheme="minorHAnsi"/>
                <w:lang w:val="fr-CA"/>
              </w:rPr>
              <w:t>L’emballage ou le contenant est fermé pour le transport de la même manière que lors de sa première utilisation;</w:t>
            </w:r>
          </w:p>
          <w:p w14:paraId="3DAC2469" w14:textId="02EDE3C8" w:rsidR="003300F2" w:rsidRPr="00A92CED" w:rsidRDefault="003300F2" w:rsidP="005E50B5">
            <w:pPr>
              <w:pStyle w:val="ListParagraph"/>
              <w:numPr>
                <w:ilvl w:val="0"/>
                <w:numId w:val="27"/>
              </w:numPr>
              <w:contextualSpacing w:val="0"/>
              <w:rPr>
                <w:rFonts w:cstheme="minorHAnsi"/>
                <w:lang w:val="fr-CA"/>
              </w:rPr>
            </w:pPr>
            <w:r w:rsidRPr="00A92CED">
              <w:rPr>
                <w:rFonts w:cstheme="minorHAnsi"/>
                <w:lang w:val="fr-CA"/>
              </w:rPr>
              <w:t>La masse des explosifs de type D est égale ou inférieure à la masse des explosifs lors de la première utilisation de l’emballage ou du contenant;</w:t>
            </w:r>
          </w:p>
          <w:p w14:paraId="30E7CE38" w14:textId="17D383FA" w:rsidR="003300F2" w:rsidRPr="00A92CED" w:rsidRDefault="003300F2" w:rsidP="005E50B5">
            <w:pPr>
              <w:pStyle w:val="ListParagraph"/>
              <w:numPr>
                <w:ilvl w:val="0"/>
                <w:numId w:val="27"/>
              </w:numPr>
              <w:contextualSpacing w:val="0"/>
              <w:rPr>
                <w:rFonts w:cstheme="minorHAnsi"/>
                <w:lang w:val="fr-CA"/>
              </w:rPr>
            </w:pPr>
            <w:r w:rsidRPr="00A92CED">
              <w:rPr>
                <w:rFonts w:cstheme="minorHAnsi"/>
                <w:lang w:val="fr-CA"/>
              </w:rPr>
              <w:t>L’emballage ou le contenant ne présente aucun signe de dommage, de contamination ou de réduction de sa robustesse.</w:t>
            </w:r>
          </w:p>
        </w:tc>
        <w:tc>
          <w:tcPr>
            <w:tcW w:w="3143" w:type="dxa"/>
            <w:gridSpan w:val="2"/>
          </w:tcPr>
          <w:p w14:paraId="1B42C6E0" w14:textId="46FED03E" w:rsidR="003300F2" w:rsidRPr="00A92CED" w:rsidRDefault="003300F2" w:rsidP="00B63279">
            <w:pPr>
              <w:rPr>
                <w:rFonts w:cstheme="minorHAnsi"/>
                <w:lang w:val="fr-CA"/>
              </w:rPr>
            </w:pPr>
            <w:r w:rsidRPr="00A92CED">
              <w:rPr>
                <w:rFonts w:cstheme="minorHAnsi"/>
                <w:lang w:val="fr-CA"/>
              </w:rPr>
              <w:lastRenderedPageBreak/>
              <w:t>Les exigences relatives à la réutilisation des emballages d’explosifs étaient contenues auparavant dans la norme sur l’emballage de Transports Canada (CGSB-43.151) du Règlement sur le TMD.</w:t>
            </w:r>
          </w:p>
          <w:p w14:paraId="6BD450AB" w14:textId="77777777" w:rsidR="003300F2" w:rsidRPr="00A92CED" w:rsidRDefault="003300F2" w:rsidP="00B63279">
            <w:pPr>
              <w:rPr>
                <w:rFonts w:cstheme="minorHAnsi"/>
                <w:lang w:val="fr-CA"/>
              </w:rPr>
            </w:pPr>
          </w:p>
          <w:p w14:paraId="277673CB" w14:textId="12450B69" w:rsidR="003300F2" w:rsidRPr="00A92CED" w:rsidRDefault="003300F2" w:rsidP="00B63279">
            <w:pPr>
              <w:rPr>
                <w:rFonts w:cstheme="minorHAnsi"/>
                <w:lang w:val="fr-CA"/>
              </w:rPr>
            </w:pPr>
            <w:r w:rsidRPr="00A92CED">
              <w:rPr>
                <w:rFonts w:cstheme="minorHAnsi"/>
                <w:lang w:val="fr-CA"/>
              </w:rPr>
              <w:t xml:space="preserve">À la suite de discussions entre Transports Canada et RNCan, il a été convenu de faire de la réglementation des exigences relatives à la réutilisation des emballages d’explosifs la responsabilité de RNCan plutôt que de  TC. Le pouvoir de réglementer cette question est conféré en vertu de l’alinéa 5 </w:t>
            </w:r>
            <w:r w:rsidRPr="00A92CED">
              <w:rPr>
                <w:rFonts w:cstheme="minorHAnsi"/>
                <w:i/>
                <w:iCs/>
                <w:lang w:val="fr-CA"/>
              </w:rPr>
              <w:t>c</w:t>
            </w:r>
            <w:r w:rsidRPr="00A92CED">
              <w:rPr>
                <w:rFonts w:cstheme="minorHAnsi"/>
                <w:lang w:val="fr-CA"/>
              </w:rPr>
              <w:t xml:space="preserve">) de la </w:t>
            </w:r>
            <w:r w:rsidRPr="00A92CED">
              <w:rPr>
                <w:rFonts w:cstheme="minorHAnsi"/>
                <w:i/>
                <w:iCs/>
                <w:lang w:val="fr-CA"/>
              </w:rPr>
              <w:t>Loi sur les explosifs</w:t>
            </w:r>
            <w:r w:rsidRPr="00A92CED">
              <w:rPr>
                <w:rFonts w:cstheme="minorHAnsi"/>
                <w:lang w:val="fr-CA"/>
              </w:rPr>
              <w:t>.</w:t>
            </w:r>
          </w:p>
          <w:p w14:paraId="47DF154E" w14:textId="77777777" w:rsidR="003300F2" w:rsidRPr="00A92CED" w:rsidRDefault="003300F2" w:rsidP="002044A0">
            <w:pPr>
              <w:rPr>
                <w:lang w:val="fr-CA"/>
              </w:rPr>
            </w:pPr>
          </w:p>
        </w:tc>
        <w:tc>
          <w:tcPr>
            <w:tcW w:w="3087" w:type="dxa"/>
          </w:tcPr>
          <w:p w14:paraId="54413ECE" w14:textId="77777777" w:rsidR="003300F2" w:rsidRPr="00A92CED" w:rsidRDefault="003300F2" w:rsidP="002044A0">
            <w:pPr>
              <w:rPr>
                <w:lang w:val="fr-CA"/>
              </w:rPr>
            </w:pPr>
          </w:p>
        </w:tc>
      </w:tr>
      <w:tr w:rsidR="00A92CED" w:rsidRPr="00A92CED" w14:paraId="1FFC098F" w14:textId="77777777" w:rsidTr="00F47EB0">
        <w:tc>
          <w:tcPr>
            <w:tcW w:w="17147" w:type="dxa"/>
            <w:gridSpan w:val="6"/>
            <w:shd w:val="clear" w:color="auto" w:fill="D9D9D9" w:themeFill="background1" w:themeFillShade="D9"/>
          </w:tcPr>
          <w:p w14:paraId="36240C63" w14:textId="29A9A490" w:rsidR="003300F2" w:rsidRPr="00A92CED" w:rsidRDefault="003300F2" w:rsidP="00B811AC">
            <w:pPr>
              <w:spacing w:before="60" w:after="60"/>
              <w:jc w:val="center"/>
              <w:rPr>
                <w:lang w:val="fr-CA"/>
              </w:rPr>
            </w:pPr>
            <w:r w:rsidRPr="00A92CED">
              <w:rPr>
                <w:rFonts w:ascii="Arial" w:hAnsi="Arial" w:cs="Arial"/>
                <w:b/>
                <w:sz w:val="24"/>
                <w:szCs w:val="24"/>
                <w:lang w:val="fr-CA"/>
              </w:rPr>
              <w:t>PARTIE 11 – Explosifs industriels</w:t>
            </w:r>
          </w:p>
        </w:tc>
      </w:tr>
      <w:tr w:rsidR="00A92CED" w:rsidRPr="00A92CED" w14:paraId="4EE42D3D" w14:textId="77777777" w:rsidTr="00E10233">
        <w:tc>
          <w:tcPr>
            <w:tcW w:w="3126" w:type="dxa"/>
          </w:tcPr>
          <w:p w14:paraId="04146463" w14:textId="77777777" w:rsidR="003300F2" w:rsidRPr="00A92CED" w:rsidRDefault="003300F2" w:rsidP="00B811AC">
            <w:pPr>
              <w:pStyle w:val="ListParagraph"/>
              <w:numPr>
                <w:ilvl w:val="0"/>
                <w:numId w:val="1"/>
              </w:numPr>
              <w:jc w:val="center"/>
              <w:rPr>
                <w:lang w:val="fr-CA"/>
              </w:rPr>
            </w:pPr>
          </w:p>
        </w:tc>
        <w:tc>
          <w:tcPr>
            <w:tcW w:w="3715" w:type="dxa"/>
          </w:tcPr>
          <w:p w14:paraId="53353E21" w14:textId="34898CF3" w:rsidR="003300F2" w:rsidRPr="00A92CED" w:rsidRDefault="003300F2" w:rsidP="00B811AC">
            <w:pPr>
              <w:rPr>
                <w:rFonts w:ascii="Calibri" w:hAnsi="Calibri" w:cs="Calibri"/>
                <w:b/>
                <w:bCs/>
                <w:i/>
                <w:iCs/>
                <w:lang w:val="fr-CA"/>
              </w:rPr>
            </w:pPr>
            <w:r w:rsidRPr="00A92CED">
              <w:rPr>
                <w:rFonts w:ascii="Calibri" w:hAnsi="Calibri" w:cs="Calibri"/>
                <w:b/>
                <w:bCs/>
                <w:lang w:val="fr-CA"/>
              </w:rPr>
              <w:t xml:space="preserve">213 </w:t>
            </w:r>
            <w:r w:rsidRPr="00A92CED">
              <w:rPr>
                <w:rFonts w:ascii="Calibri" w:hAnsi="Calibri" w:cs="Calibri"/>
                <w:lang w:val="fr-CA"/>
              </w:rPr>
              <w:t>Les définitions qui suivent s’appliquent à la présente partie.</w:t>
            </w:r>
            <w:r w:rsidRPr="00A92CED">
              <w:rPr>
                <w:rFonts w:ascii="Calibri" w:hAnsi="Calibri" w:cs="Calibri"/>
                <w:lang w:val="fr-CA"/>
              </w:rPr>
              <w:br/>
            </w:r>
          </w:p>
          <w:p w14:paraId="47049977" w14:textId="61BE0821" w:rsidR="003300F2" w:rsidRPr="00A92CED" w:rsidRDefault="003300F2" w:rsidP="00B811AC">
            <w:pPr>
              <w:rPr>
                <w:rFonts w:ascii="Calibri" w:hAnsi="Calibri" w:cs="Calibri"/>
                <w:b/>
                <w:bCs/>
                <w:lang w:val="fr-CA"/>
              </w:rPr>
            </w:pPr>
            <w:r w:rsidRPr="00A92CED">
              <w:rPr>
                <w:rFonts w:ascii="Calibri" w:hAnsi="Calibri" w:cs="Calibri"/>
                <w:b/>
                <w:bCs/>
                <w:i/>
                <w:iCs/>
                <w:lang w:val="fr-CA"/>
              </w:rPr>
              <w:t xml:space="preserve">explosif industriel </w:t>
            </w:r>
            <w:r w:rsidRPr="00A92CED">
              <w:rPr>
                <w:rFonts w:ascii="Calibri" w:hAnsi="Calibri" w:cs="Calibri"/>
                <w:lang w:val="fr-CA"/>
              </w:rPr>
              <w:t>Explosif appartenant à l’un des types d’explosif suivants :</w:t>
            </w:r>
          </w:p>
          <w:p w14:paraId="1D5BD9D9" w14:textId="0D678F68" w:rsidR="003300F2" w:rsidRPr="00A92CED" w:rsidRDefault="003300F2" w:rsidP="00B811AC">
            <w:pPr>
              <w:ind w:left="720"/>
              <w:rPr>
                <w:b/>
                <w:lang w:val="fr-CA"/>
              </w:rPr>
            </w:pPr>
            <w:r w:rsidRPr="00A92CED">
              <w:rPr>
                <w:rFonts w:ascii="Calibri" w:hAnsi="Calibri" w:cs="Calibri"/>
                <w:lang w:val="fr-CA"/>
              </w:rPr>
              <w:t>a) E.1 — explosifs de sautage;</w:t>
            </w:r>
            <w:r w:rsidRPr="00A92CED">
              <w:rPr>
                <w:rFonts w:ascii="Calibri" w:hAnsi="Calibri" w:cs="Calibri"/>
                <w:lang w:val="fr-CA"/>
              </w:rPr>
              <w:br/>
              <w:t>b) E.2 — explosifs à charge creuse;</w:t>
            </w:r>
            <w:r w:rsidRPr="00A92CED">
              <w:rPr>
                <w:rFonts w:ascii="Calibri" w:hAnsi="Calibri" w:cs="Calibri"/>
                <w:lang w:val="fr-CA"/>
              </w:rPr>
              <w:br/>
              <w:t xml:space="preserve">c) E.3 — explosifs destinés à </w:t>
            </w:r>
            <w:r w:rsidRPr="00A92CED">
              <w:rPr>
                <w:rFonts w:ascii="Calibri" w:hAnsi="Calibri" w:cs="Calibri"/>
                <w:lang w:val="fr-CA"/>
              </w:rPr>
              <w:lastRenderedPageBreak/>
              <w:t>des usages particuliers;</w:t>
            </w:r>
            <w:r w:rsidRPr="00A92CED">
              <w:rPr>
                <w:rFonts w:ascii="Calibri" w:hAnsi="Calibri" w:cs="Calibri"/>
                <w:lang w:val="fr-CA"/>
              </w:rPr>
              <w:br/>
              <w:t>d) I — systèmes d’amorçage;</w:t>
            </w:r>
            <w:r w:rsidRPr="00A92CED">
              <w:rPr>
                <w:rFonts w:ascii="Calibri" w:hAnsi="Calibri" w:cs="Calibri"/>
                <w:lang w:val="fr-CA"/>
              </w:rPr>
              <w:br/>
              <w:t>e) P.1 — poudre noire et ses substituts de catégorie de risque EP 1, utilisés dans l’exploitation des mines et des carrières, dans la construction ainsi que dans la lutte contre les avalanches. (</w:t>
            </w:r>
            <w:r w:rsidRPr="00A92CED">
              <w:rPr>
                <w:rFonts w:ascii="Calibri" w:hAnsi="Calibri" w:cs="Calibri"/>
                <w:i/>
                <w:iCs/>
                <w:lang w:val="fr-CA"/>
              </w:rPr>
              <w:t>industrial explosive</w:t>
            </w:r>
            <w:r w:rsidRPr="00A92CED">
              <w:rPr>
                <w:rFonts w:ascii="Calibri" w:hAnsi="Calibri" w:cs="Calibri"/>
                <w:lang w:val="fr-CA"/>
              </w:rPr>
              <w:t>)</w:t>
            </w:r>
          </w:p>
        </w:tc>
        <w:tc>
          <w:tcPr>
            <w:tcW w:w="4076" w:type="dxa"/>
          </w:tcPr>
          <w:p w14:paraId="67C10FEE" w14:textId="64417757" w:rsidR="003300F2" w:rsidRPr="00A92CED" w:rsidRDefault="003300F2" w:rsidP="00B811AC">
            <w:pPr>
              <w:rPr>
                <w:lang w:val="fr-CA"/>
              </w:rPr>
            </w:pPr>
            <w:r w:rsidRPr="00A92CED">
              <w:rPr>
                <w:lang w:val="fr-CA"/>
              </w:rPr>
              <w:lastRenderedPageBreak/>
              <w:t xml:space="preserve">Modifier la définition du terme </w:t>
            </w:r>
            <w:r w:rsidRPr="00A92CED">
              <w:rPr>
                <w:rFonts w:cstheme="minorHAnsi"/>
                <w:lang w:val="fr-CA"/>
              </w:rPr>
              <w:t>« explosif industriel </w:t>
            </w:r>
            <w:r w:rsidRPr="00A92CED">
              <w:rPr>
                <w:rFonts w:ascii="Calibri" w:hAnsi="Calibri" w:cs="Calibri"/>
                <w:lang w:val="fr-CA"/>
              </w:rPr>
              <w:t>» à l’article 213 pour supprimer l’alinéa e).</w:t>
            </w:r>
          </w:p>
        </w:tc>
        <w:tc>
          <w:tcPr>
            <w:tcW w:w="3143" w:type="dxa"/>
            <w:gridSpan w:val="2"/>
          </w:tcPr>
          <w:p w14:paraId="748CFCD7" w14:textId="586BF354" w:rsidR="003300F2" w:rsidRPr="00A92CED" w:rsidRDefault="003300F2" w:rsidP="00B811AC">
            <w:pPr>
              <w:rPr>
                <w:lang w:val="fr-CA"/>
              </w:rPr>
            </w:pPr>
            <w:r w:rsidRPr="00A92CED">
              <w:rPr>
                <w:lang w:val="fr-CA"/>
              </w:rPr>
              <w:t>Cet amendement proposé appuie l’intention de la politique de moderniser le Règlement. Il n’est plus nécessaire d’avoir des exigences de sécurité différentes pour la poudre noire en fonction de son utilisation finale.</w:t>
            </w:r>
          </w:p>
        </w:tc>
        <w:tc>
          <w:tcPr>
            <w:tcW w:w="3087" w:type="dxa"/>
          </w:tcPr>
          <w:p w14:paraId="5FCCCD13" w14:textId="77777777" w:rsidR="003300F2" w:rsidRPr="00A92CED" w:rsidRDefault="003300F2" w:rsidP="00B811AC">
            <w:pPr>
              <w:rPr>
                <w:lang w:val="fr-CA"/>
              </w:rPr>
            </w:pPr>
          </w:p>
        </w:tc>
      </w:tr>
      <w:tr w:rsidR="00A92CED" w:rsidRPr="00A92CED" w14:paraId="11637C42" w14:textId="77777777" w:rsidTr="00702E71">
        <w:tc>
          <w:tcPr>
            <w:tcW w:w="17147" w:type="dxa"/>
            <w:gridSpan w:val="6"/>
            <w:shd w:val="clear" w:color="auto" w:fill="D9D9D9" w:themeFill="background1" w:themeFillShade="D9"/>
          </w:tcPr>
          <w:p w14:paraId="27D42A32" w14:textId="50B5A7C9" w:rsidR="003300F2" w:rsidRPr="00A92CED" w:rsidRDefault="003300F2" w:rsidP="00702E71">
            <w:pPr>
              <w:spacing w:before="60" w:after="60"/>
              <w:jc w:val="center"/>
              <w:rPr>
                <w:lang w:val="fr-CA"/>
              </w:rPr>
            </w:pPr>
            <w:r w:rsidRPr="00A92CED">
              <w:rPr>
                <w:rFonts w:ascii="Arial" w:hAnsi="Arial" w:cs="Arial"/>
                <w:b/>
                <w:sz w:val="24"/>
                <w:szCs w:val="24"/>
                <w:lang w:val="fr-CA"/>
              </w:rPr>
              <w:t xml:space="preserve">PARTIE </w:t>
            </w:r>
            <w:r w:rsidRPr="00A92CED">
              <w:rPr>
                <w:rFonts w:ascii="Arial" w:hAnsi="Arial" w:cs="Arial"/>
                <w:b/>
                <w:sz w:val="24"/>
                <w:szCs w:val="24"/>
                <w:shd w:val="clear" w:color="auto" w:fill="D9D9D9" w:themeFill="background1" w:themeFillShade="D9"/>
                <w:lang w:val="fr-CA"/>
              </w:rPr>
              <w:t>12 – Cartouches à blanc pour outils</w:t>
            </w:r>
          </w:p>
        </w:tc>
      </w:tr>
      <w:tr w:rsidR="00A92CED" w:rsidRPr="00A92CED" w14:paraId="00A1F048" w14:textId="77777777" w:rsidTr="00E10233">
        <w:tc>
          <w:tcPr>
            <w:tcW w:w="3126" w:type="dxa"/>
          </w:tcPr>
          <w:p w14:paraId="294B4F11" w14:textId="77777777" w:rsidR="003300F2" w:rsidRPr="00A92CED" w:rsidRDefault="003300F2" w:rsidP="00CF4A4A">
            <w:pPr>
              <w:pStyle w:val="ListParagraph"/>
              <w:numPr>
                <w:ilvl w:val="0"/>
                <w:numId w:val="1"/>
              </w:numPr>
              <w:jc w:val="center"/>
              <w:rPr>
                <w:lang w:val="fr-CA"/>
              </w:rPr>
            </w:pPr>
          </w:p>
        </w:tc>
        <w:tc>
          <w:tcPr>
            <w:tcW w:w="3715" w:type="dxa"/>
          </w:tcPr>
          <w:p w14:paraId="492503F6" w14:textId="365AE9E3" w:rsidR="003300F2" w:rsidRPr="00A92CED" w:rsidRDefault="003300F2" w:rsidP="002B1331">
            <w:pPr>
              <w:rPr>
                <w:rFonts w:ascii="Calibri" w:hAnsi="Calibri" w:cs="Calibri"/>
                <w:b/>
                <w:bCs/>
                <w:lang w:val="fr-CA"/>
              </w:rPr>
            </w:pPr>
            <w:r w:rsidRPr="00A92CED">
              <w:rPr>
                <w:rFonts w:ascii="Calibri" w:hAnsi="Calibri" w:cs="Calibri"/>
                <w:b/>
                <w:bCs/>
                <w:lang w:val="fr-CA"/>
              </w:rPr>
              <w:t>NOUVEAU</w:t>
            </w:r>
          </w:p>
        </w:tc>
        <w:tc>
          <w:tcPr>
            <w:tcW w:w="4076" w:type="dxa"/>
          </w:tcPr>
          <w:p w14:paraId="3829D0C8" w14:textId="36FDD9D1" w:rsidR="003300F2" w:rsidRPr="00A92CED" w:rsidRDefault="003300F2" w:rsidP="002B1331">
            <w:pPr>
              <w:rPr>
                <w:rFonts w:cstheme="minorHAnsi"/>
                <w:lang w:val="fr-CA"/>
              </w:rPr>
            </w:pPr>
            <w:r w:rsidRPr="00A92CED">
              <w:rPr>
                <w:lang w:val="fr-CA"/>
              </w:rPr>
              <w:t xml:space="preserve">Ajouter à la Partie 12 une exigence selon laquelle un vendeur doit s’assurer que tout emballage ou contenant qui a été utilisé pour des explosifs de type C.2 n’est pas réutilisé à moins que </w:t>
            </w:r>
            <w:r w:rsidRPr="00A92CED">
              <w:rPr>
                <w:rFonts w:cstheme="minorHAnsi"/>
                <w:lang w:val="fr-CA"/>
              </w:rPr>
              <w:t xml:space="preserve">: </w:t>
            </w:r>
          </w:p>
          <w:p w14:paraId="373B61D2" w14:textId="38CC49A3" w:rsidR="003300F2" w:rsidRPr="00A92CED" w:rsidRDefault="003300F2" w:rsidP="002B1331">
            <w:pPr>
              <w:pStyle w:val="ListParagraph"/>
              <w:numPr>
                <w:ilvl w:val="0"/>
                <w:numId w:val="27"/>
              </w:numPr>
              <w:contextualSpacing w:val="0"/>
              <w:rPr>
                <w:rFonts w:cstheme="minorHAnsi"/>
                <w:lang w:val="fr-CA"/>
              </w:rPr>
            </w:pPr>
            <w:r w:rsidRPr="00A92CED">
              <w:rPr>
                <w:rFonts w:cstheme="minorHAnsi"/>
                <w:lang w:val="fr-CA"/>
              </w:rPr>
              <w:t>La classification aux fins du transport des explosifs de type C.2 reste inchangée;</w:t>
            </w:r>
          </w:p>
          <w:p w14:paraId="7C2494F8" w14:textId="049B0235" w:rsidR="003300F2" w:rsidRPr="00A92CED" w:rsidRDefault="003300F2" w:rsidP="002B1331">
            <w:pPr>
              <w:pStyle w:val="ListParagraph"/>
              <w:numPr>
                <w:ilvl w:val="0"/>
                <w:numId w:val="27"/>
              </w:numPr>
              <w:contextualSpacing w:val="0"/>
              <w:rPr>
                <w:rFonts w:cstheme="minorHAnsi"/>
                <w:lang w:val="fr-CA"/>
              </w:rPr>
            </w:pPr>
            <w:r w:rsidRPr="00A92CED">
              <w:rPr>
                <w:rFonts w:cstheme="minorHAnsi"/>
                <w:lang w:val="fr-CA"/>
              </w:rPr>
              <w:t>Les explosifs de type C.2 sont disposés dans l’emballage ou le contenant de manière à réduire au minimum leur mouvement pendant le transport;</w:t>
            </w:r>
          </w:p>
          <w:p w14:paraId="2273EC93" w14:textId="10626443" w:rsidR="003300F2" w:rsidRPr="00A92CED" w:rsidRDefault="003300F2" w:rsidP="002B1331">
            <w:pPr>
              <w:pStyle w:val="ListParagraph"/>
              <w:numPr>
                <w:ilvl w:val="0"/>
                <w:numId w:val="27"/>
              </w:numPr>
              <w:contextualSpacing w:val="0"/>
              <w:rPr>
                <w:rFonts w:cstheme="minorHAnsi"/>
                <w:lang w:val="fr-CA"/>
              </w:rPr>
            </w:pPr>
            <w:r w:rsidRPr="00A92CED">
              <w:rPr>
                <w:rFonts w:cstheme="minorHAnsi"/>
                <w:lang w:val="fr-CA"/>
              </w:rPr>
              <w:t>L’emballage ou le contenant est fermé pour le transport de la même manière que lors de sa première utilisation;</w:t>
            </w:r>
          </w:p>
          <w:p w14:paraId="42DF5D29" w14:textId="6F2F94FE" w:rsidR="003300F2" w:rsidRPr="00A92CED" w:rsidRDefault="003300F2" w:rsidP="002B1331">
            <w:pPr>
              <w:pStyle w:val="ListParagraph"/>
              <w:numPr>
                <w:ilvl w:val="0"/>
                <w:numId w:val="27"/>
              </w:numPr>
              <w:contextualSpacing w:val="0"/>
              <w:rPr>
                <w:rFonts w:cstheme="minorHAnsi"/>
                <w:lang w:val="fr-CA"/>
              </w:rPr>
            </w:pPr>
            <w:r w:rsidRPr="00A92CED">
              <w:rPr>
                <w:rFonts w:cstheme="minorHAnsi"/>
                <w:lang w:val="fr-CA"/>
              </w:rPr>
              <w:t xml:space="preserve">La masse des explosifs de type C.2 est égale ou inférieure à la masse des explosifs lors de la première </w:t>
            </w:r>
            <w:r w:rsidRPr="00A92CED">
              <w:rPr>
                <w:rFonts w:cstheme="minorHAnsi"/>
                <w:lang w:val="fr-CA"/>
              </w:rPr>
              <w:lastRenderedPageBreak/>
              <w:t>utilisation de l’emballage ou du contenant;</w:t>
            </w:r>
          </w:p>
          <w:p w14:paraId="2C15C478" w14:textId="679A35DC" w:rsidR="003300F2" w:rsidRPr="00A92CED" w:rsidRDefault="003300F2" w:rsidP="002B1331">
            <w:pPr>
              <w:pStyle w:val="ListParagraph"/>
              <w:numPr>
                <w:ilvl w:val="0"/>
                <w:numId w:val="27"/>
              </w:numPr>
              <w:contextualSpacing w:val="0"/>
              <w:rPr>
                <w:rFonts w:cstheme="minorHAnsi"/>
                <w:lang w:val="fr-CA"/>
              </w:rPr>
            </w:pPr>
            <w:r w:rsidRPr="00A92CED">
              <w:rPr>
                <w:rFonts w:cstheme="minorHAnsi"/>
                <w:lang w:val="fr-CA"/>
              </w:rPr>
              <w:t>L’emballage ou le contenant ne présente aucun signe de dommage, de contamination ou de réduction de sa robustesse.</w:t>
            </w:r>
          </w:p>
        </w:tc>
        <w:tc>
          <w:tcPr>
            <w:tcW w:w="3143" w:type="dxa"/>
            <w:gridSpan w:val="2"/>
          </w:tcPr>
          <w:p w14:paraId="1504B727" w14:textId="1DAE0289" w:rsidR="003300F2" w:rsidRPr="00A92CED" w:rsidRDefault="003300F2" w:rsidP="002B1331">
            <w:pPr>
              <w:rPr>
                <w:rFonts w:cstheme="minorHAnsi"/>
                <w:lang w:val="fr-CA"/>
              </w:rPr>
            </w:pPr>
            <w:r w:rsidRPr="00A92CED">
              <w:rPr>
                <w:rFonts w:cstheme="minorHAnsi"/>
                <w:lang w:val="fr-CA"/>
              </w:rPr>
              <w:lastRenderedPageBreak/>
              <w:t>Les exigences relatives à la réutilisation des emballages d’explosifs étaient contenues auparavant dans la norme sur l’emballage de Transports Canada (CGSB-43.151) du Règlement sur le TMD.</w:t>
            </w:r>
          </w:p>
          <w:p w14:paraId="70F31ACC" w14:textId="77777777" w:rsidR="003300F2" w:rsidRPr="00A92CED" w:rsidRDefault="003300F2" w:rsidP="002B1331">
            <w:pPr>
              <w:rPr>
                <w:rFonts w:cstheme="minorHAnsi"/>
                <w:lang w:val="fr-CA"/>
              </w:rPr>
            </w:pPr>
          </w:p>
          <w:p w14:paraId="3AA0D329" w14:textId="78F57291" w:rsidR="003300F2" w:rsidRPr="00A92CED" w:rsidRDefault="003300F2" w:rsidP="002B1331">
            <w:pPr>
              <w:rPr>
                <w:rFonts w:cstheme="minorHAnsi"/>
                <w:lang w:val="fr-CA"/>
              </w:rPr>
            </w:pPr>
            <w:r w:rsidRPr="00A92CED">
              <w:rPr>
                <w:rFonts w:cstheme="minorHAnsi"/>
                <w:lang w:val="fr-CA"/>
              </w:rPr>
              <w:t xml:space="preserve">À la suite de discussions entre Transports Canada et RNCan, il a été convenu de faire de la réglementation des exigences relatives à la réutilisation des emballages d’explosifs la responsabilité de RNCan plutôt que de  TC. Le pouvoir de réglementer cette question est conféré en vertu de l’alinéa 5 </w:t>
            </w:r>
            <w:r w:rsidRPr="00A92CED">
              <w:rPr>
                <w:rFonts w:cstheme="minorHAnsi"/>
                <w:i/>
                <w:iCs/>
                <w:lang w:val="fr-CA"/>
              </w:rPr>
              <w:t>c</w:t>
            </w:r>
            <w:r w:rsidRPr="00A92CED">
              <w:rPr>
                <w:rFonts w:cstheme="minorHAnsi"/>
                <w:lang w:val="fr-CA"/>
              </w:rPr>
              <w:t xml:space="preserve">) de la </w:t>
            </w:r>
            <w:r w:rsidRPr="00A92CED">
              <w:rPr>
                <w:rFonts w:cstheme="minorHAnsi"/>
                <w:i/>
                <w:iCs/>
                <w:lang w:val="fr-CA"/>
              </w:rPr>
              <w:t>Loi sur les explosifs</w:t>
            </w:r>
            <w:r w:rsidRPr="00A92CED">
              <w:rPr>
                <w:rFonts w:cstheme="minorHAnsi"/>
                <w:lang w:val="fr-CA"/>
              </w:rPr>
              <w:t>.</w:t>
            </w:r>
          </w:p>
          <w:p w14:paraId="5A1EE9BD" w14:textId="77777777" w:rsidR="003300F2" w:rsidRPr="00A92CED" w:rsidRDefault="003300F2" w:rsidP="002B1331">
            <w:pPr>
              <w:rPr>
                <w:lang w:val="fr-CA"/>
              </w:rPr>
            </w:pPr>
          </w:p>
        </w:tc>
        <w:tc>
          <w:tcPr>
            <w:tcW w:w="3087" w:type="dxa"/>
          </w:tcPr>
          <w:p w14:paraId="6EF9CFB3" w14:textId="77777777" w:rsidR="003300F2" w:rsidRPr="00A92CED" w:rsidRDefault="003300F2" w:rsidP="00CF4A4A">
            <w:pPr>
              <w:rPr>
                <w:lang w:val="fr-CA"/>
              </w:rPr>
            </w:pPr>
          </w:p>
        </w:tc>
      </w:tr>
      <w:tr w:rsidR="00A92CED" w:rsidRPr="00A92CED" w14:paraId="6367E227" w14:textId="77777777" w:rsidTr="00E10233">
        <w:tc>
          <w:tcPr>
            <w:tcW w:w="3126" w:type="dxa"/>
          </w:tcPr>
          <w:p w14:paraId="4C07FB75" w14:textId="77777777" w:rsidR="003300F2" w:rsidRPr="00A92CED" w:rsidRDefault="003300F2" w:rsidP="007C6721">
            <w:pPr>
              <w:pStyle w:val="ListParagraph"/>
              <w:numPr>
                <w:ilvl w:val="0"/>
                <w:numId w:val="1"/>
              </w:numPr>
              <w:jc w:val="center"/>
              <w:rPr>
                <w:lang w:val="fr-CA"/>
              </w:rPr>
            </w:pPr>
          </w:p>
        </w:tc>
        <w:tc>
          <w:tcPr>
            <w:tcW w:w="3715" w:type="dxa"/>
          </w:tcPr>
          <w:p w14:paraId="69469C6E" w14:textId="79428CF4" w:rsidR="003300F2" w:rsidRPr="00A92CED" w:rsidRDefault="003300F2" w:rsidP="002B1331">
            <w:pPr>
              <w:rPr>
                <w:rFonts w:ascii="Calibri" w:hAnsi="Calibri" w:cs="Calibri"/>
                <w:b/>
                <w:bCs/>
                <w:lang w:val="fr-CA"/>
              </w:rPr>
            </w:pPr>
            <w:r w:rsidRPr="00A92CED">
              <w:rPr>
                <w:rFonts w:ascii="Calibri" w:hAnsi="Calibri" w:cs="Calibri"/>
                <w:b/>
                <w:bCs/>
                <w:lang w:val="fr-CA"/>
              </w:rPr>
              <w:t>NOUVEAU</w:t>
            </w:r>
          </w:p>
        </w:tc>
        <w:tc>
          <w:tcPr>
            <w:tcW w:w="4076" w:type="dxa"/>
          </w:tcPr>
          <w:p w14:paraId="3007368D" w14:textId="7BE36D28" w:rsidR="003300F2" w:rsidRPr="00A92CED" w:rsidRDefault="003300F2" w:rsidP="002B1331">
            <w:pPr>
              <w:rPr>
                <w:rFonts w:cstheme="minorHAnsi"/>
                <w:lang w:val="fr-CA"/>
              </w:rPr>
            </w:pPr>
            <w:r w:rsidRPr="00A92CED">
              <w:rPr>
                <w:lang w:val="fr-CA"/>
              </w:rPr>
              <w:t xml:space="preserve">Ajouter à la Partie 12 une exigence selon laquelle un utilisateur doit s’assurer que tout emballage ou contenant qui a été utilisé pour des explosifs de type C.2 n’est pas réutilisé à moins que </w:t>
            </w:r>
            <w:r w:rsidRPr="00A92CED">
              <w:rPr>
                <w:rFonts w:cstheme="minorHAnsi"/>
                <w:lang w:val="fr-CA"/>
              </w:rPr>
              <w:t xml:space="preserve">: </w:t>
            </w:r>
          </w:p>
          <w:p w14:paraId="1FC48B34" w14:textId="77777777" w:rsidR="003300F2" w:rsidRPr="00A92CED" w:rsidRDefault="003300F2" w:rsidP="002B1331">
            <w:pPr>
              <w:pStyle w:val="ListParagraph"/>
              <w:numPr>
                <w:ilvl w:val="0"/>
                <w:numId w:val="27"/>
              </w:numPr>
              <w:contextualSpacing w:val="0"/>
              <w:rPr>
                <w:rFonts w:cstheme="minorHAnsi"/>
                <w:lang w:val="fr-CA"/>
              </w:rPr>
            </w:pPr>
            <w:r w:rsidRPr="00A92CED">
              <w:rPr>
                <w:rFonts w:cstheme="minorHAnsi"/>
                <w:lang w:val="fr-CA"/>
              </w:rPr>
              <w:t>La classification aux fins du transport des explosifs de type C.2 reste inchangée;</w:t>
            </w:r>
          </w:p>
          <w:p w14:paraId="521D0469" w14:textId="3F63005C" w:rsidR="003300F2" w:rsidRPr="00A92CED" w:rsidRDefault="003300F2" w:rsidP="002B1331">
            <w:pPr>
              <w:pStyle w:val="ListParagraph"/>
              <w:numPr>
                <w:ilvl w:val="0"/>
                <w:numId w:val="27"/>
              </w:numPr>
              <w:contextualSpacing w:val="0"/>
              <w:rPr>
                <w:rFonts w:cstheme="minorHAnsi"/>
                <w:lang w:val="fr-CA"/>
              </w:rPr>
            </w:pPr>
            <w:r w:rsidRPr="00A92CED">
              <w:rPr>
                <w:rFonts w:cstheme="minorHAnsi"/>
                <w:lang w:val="fr-CA"/>
              </w:rPr>
              <w:t>Les explosifs de type C.2 sont disposés dans l’emballage ou le contenant de manière à réduire au minimum leur mouvement pendant le transport;</w:t>
            </w:r>
          </w:p>
          <w:p w14:paraId="3E3F04AA" w14:textId="42B13E86" w:rsidR="003300F2" w:rsidRPr="00A92CED" w:rsidRDefault="003300F2" w:rsidP="002B1331">
            <w:pPr>
              <w:pStyle w:val="ListParagraph"/>
              <w:numPr>
                <w:ilvl w:val="0"/>
                <w:numId w:val="27"/>
              </w:numPr>
              <w:contextualSpacing w:val="0"/>
              <w:rPr>
                <w:rFonts w:cstheme="minorHAnsi"/>
                <w:lang w:val="fr-CA"/>
              </w:rPr>
            </w:pPr>
            <w:r w:rsidRPr="00A92CED">
              <w:rPr>
                <w:rFonts w:cstheme="minorHAnsi"/>
                <w:lang w:val="fr-CA"/>
              </w:rPr>
              <w:t>L’emballage ou le contenant est fermé pour le transport de la même manière que lors de sa première utilisation;</w:t>
            </w:r>
          </w:p>
          <w:p w14:paraId="2ABCC4DF" w14:textId="50C2E1DD" w:rsidR="003300F2" w:rsidRPr="00A92CED" w:rsidRDefault="003300F2" w:rsidP="002B1331">
            <w:pPr>
              <w:pStyle w:val="ListParagraph"/>
              <w:numPr>
                <w:ilvl w:val="0"/>
                <w:numId w:val="27"/>
              </w:numPr>
              <w:contextualSpacing w:val="0"/>
              <w:rPr>
                <w:rFonts w:cstheme="minorHAnsi"/>
                <w:lang w:val="fr-CA"/>
              </w:rPr>
            </w:pPr>
            <w:r w:rsidRPr="00A92CED">
              <w:rPr>
                <w:rFonts w:cstheme="minorHAnsi"/>
                <w:lang w:val="fr-CA"/>
              </w:rPr>
              <w:t>La masse des explosifs de type C.2 est égale ou inférieure à la masse des explosifs lors de la première utilisation de l’emballage ou du contenant;</w:t>
            </w:r>
          </w:p>
          <w:p w14:paraId="54EC1B80" w14:textId="74920B5B" w:rsidR="003300F2" w:rsidRPr="00A92CED" w:rsidRDefault="003300F2" w:rsidP="002B1331">
            <w:pPr>
              <w:pStyle w:val="ListParagraph"/>
              <w:numPr>
                <w:ilvl w:val="0"/>
                <w:numId w:val="27"/>
              </w:numPr>
              <w:contextualSpacing w:val="0"/>
              <w:rPr>
                <w:rFonts w:cstheme="minorHAnsi"/>
                <w:lang w:val="fr-CA"/>
              </w:rPr>
            </w:pPr>
            <w:r w:rsidRPr="00A92CED">
              <w:rPr>
                <w:rFonts w:cstheme="minorHAnsi"/>
                <w:lang w:val="fr-CA"/>
              </w:rPr>
              <w:t>L’emballage ou le contenant ne présente aucun signe de dommage, de contamination ou de réduction de sa robustesse.</w:t>
            </w:r>
          </w:p>
        </w:tc>
        <w:tc>
          <w:tcPr>
            <w:tcW w:w="3143" w:type="dxa"/>
            <w:gridSpan w:val="2"/>
          </w:tcPr>
          <w:p w14:paraId="29AC5A21" w14:textId="1D61BE3B" w:rsidR="003300F2" w:rsidRPr="00A92CED" w:rsidRDefault="003300F2" w:rsidP="002B1331">
            <w:pPr>
              <w:rPr>
                <w:rFonts w:cstheme="minorHAnsi"/>
                <w:lang w:val="fr-CA"/>
              </w:rPr>
            </w:pPr>
            <w:r w:rsidRPr="00A92CED">
              <w:rPr>
                <w:rFonts w:cstheme="minorHAnsi"/>
                <w:lang w:val="fr-CA"/>
              </w:rPr>
              <w:t>Les exigences relatives à la réutilisation des emballages d’explosifs étaient contenues auparavant dans la norme sur l’emballage de Transports Canada (CGSB-43.151) du Règlement sur le TMD.</w:t>
            </w:r>
          </w:p>
          <w:p w14:paraId="540A701D" w14:textId="77777777" w:rsidR="003300F2" w:rsidRPr="00A92CED" w:rsidRDefault="003300F2" w:rsidP="002B1331">
            <w:pPr>
              <w:rPr>
                <w:rFonts w:cstheme="minorHAnsi"/>
                <w:lang w:val="fr-CA"/>
              </w:rPr>
            </w:pPr>
          </w:p>
          <w:p w14:paraId="7FFEA20D" w14:textId="3B4EC806" w:rsidR="003300F2" w:rsidRPr="00A92CED" w:rsidRDefault="003300F2" w:rsidP="002B1331">
            <w:pPr>
              <w:rPr>
                <w:rFonts w:cstheme="minorHAnsi"/>
                <w:lang w:val="fr-CA"/>
              </w:rPr>
            </w:pPr>
            <w:r w:rsidRPr="00A92CED">
              <w:rPr>
                <w:rFonts w:cstheme="minorHAnsi"/>
                <w:lang w:val="fr-CA"/>
              </w:rPr>
              <w:t xml:space="preserve">À la suite de discussions entre Transports Canada et RNCan, il a été convenu de faire de la réglementation des exigences relatives à la réutilisation des emballages d’explosifs la responsabilité de RNCan plutôt que de  TC. Le pouvoir de réglementer cette question est conféré en vertu de l’alinéa 5 </w:t>
            </w:r>
            <w:r w:rsidRPr="00A92CED">
              <w:rPr>
                <w:rFonts w:cstheme="minorHAnsi"/>
                <w:i/>
                <w:iCs/>
                <w:lang w:val="fr-CA"/>
              </w:rPr>
              <w:t>c</w:t>
            </w:r>
            <w:r w:rsidRPr="00A92CED">
              <w:rPr>
                <w:rFonts w:cstheme="minorHAnsi"/>
                <w:lang w:val="fr-CA"/>
              </w:rPr>
              <w:t xml:space="preserve">) de la </w:t>
            </w:r>
            <w:r w:rsidRPr="00A92CED">
              <w:rPr>
                <w:rFonts w:cstheme="minorHAnsi"/>
                <w:i/>
                <w:iCs/>
                <w:lang w:val="fr-CA"/>
              </w:rPr>
              <w:t>Loi sur les explosifs</w:t>
            </w:r>
            <w:r w:rsidRPr="00A92CED">
              <w:rPr>
                <w:rFonts w:cstheme="minorHAnsi"/>
                <w:lang w:val="fr-CA"/>
              </w:rPr>
              <w:t>.</w:t>
            </w:r>
          </w:p>
          <w:p w14:paraId="00E7DACA" w14:textId="77777777" w:rsidR="003300F2" w:rsidRPr="00A92CED" w:rsidRDefault="003300F2" w:rsidP="002B1331">
            <w:pPr>
              <w:rPr>
                <w:lang w:val="fr-CA"/>
              </w:rPr>
            </w:pPr>
          </w:p>
        </w:tc>
        <w:tc>
          <w:tcPr>
            <w:tcW w:w="3087" w:type="dxa"/>
          </w:tcPr>
          <w:p w14:paraId="59C13054" w14:textId="77777777" w:rsidR="003300F2" w:rsidRPr="00A92CED" w:rsidRDefault="003300F2" w:rsidP="007C6721">
            <w:pPr>
              <w:rPr>
                <w:lang w:val="fr-CA"/>
              </w:rPr>
            </w:pPr>
          </w:p>
        </w:tc>
      </w:tr>
      <w:tr w:rsidR="00A92CED" w:rsidRPr="00A92CED" w14:paraId="2B013766" w14:textId="735EBE91" w:rsidTr="00F47EB0">
        <w:tc>
          <w:tcPr>
            <w:tcW w:w="17147" w:type="dxa"/>
            <w:gridSpan w:val="6"/>
            <w:shd w:val="clear" w:color="auto" w:fill="D9D9D9" w:themeFill="background1" w:themeFillShade="D9"/>
          </w:tcPr>
          <w:p w14:paraId="14C1C155" w14:textId="13BAF07B" w:rsidR="003300F2" w:rsidRPr="00A92CED" w:rsidRDefault="003300F2" w:rsidP="00B811AC">
            <w:pPr>
              <w:spacing w:before="60" w:after="60"/>
              <w:jc w:val="center"/>
              <w:rPr>
                <w:rFonts w:ascii="Arial" w:hAnsi="Arial" w:cs="Arial"/>
                <w:b/>
                <w:sz w:val="24"/>
                <w:szCs w:val="24"/>
                <w:lang w:val="fr-CA"/>
              </w:rPr>
            </w:pPr>
            <w:r w:rsidRPr="00A92CED">
              <w:rPr>
                <w:rFonts w:ascii="Arial" w:hAnsi="Arial" w:cs="Arial"/>
                <w:b/>
                <w:sz w:val="24"/>
                <w:szCs w:val="24"/>
                <w:lang w:val="fr-CA"/>
              </w:rPr>
              <w:lastRenderedPageBreak/>
              <w:t>PARTIE 13 – Explosifs à usage spécial</w:t>
            </w:r>
          </w:p>
        </w:tc>
      </w:tr>
      <w:tr w:rsidR="00A92CED" w:rsidRPr="00A92CED" w14:paraId="7618D754" w14:textId="682288B5" w:rsidTr="00F47EB0">
        <w:tc>
          <w:tcPr>
            <w:tcW w:w="17147" w:type="dxa"/>
            <w:gridSpan w:val="6"/>
            <w:shd w:val="clear" w:color="auto" w:fill="F2F2F2" w:themeFill="background1" w:themeFillShade="F2"/>
          </w:tcPr>
          <w:p w14:paraId="0FE375C0" w14:textId="50515695" w:rsidR="003300F2" w:rsidRPr="00A92CED" w:rsidRDefault="003300F2" w:rsidP="00B811AC">
            <w:pPr>
              <w:spacing w:before="60" w:after="60"/>
              <w:jc w:val="center"/>
              <w:rPr>
                <w:rFonts w:ascii="Arial" w:hAnsi="Arial" w:cs="Arial"/>
                <w:sz w:val="24"/>
                <w:szCs w:val="24"/>
                <w:lang w:val="fr-CA"/>
              </w:rPr>
            </w:pPr>
            <w:r w:rsidRPr="00A92CED">
              <w:rPr>
                <w:rFonts w:ascii="Arial" w:hAnsi="Arial" w:cs="Arial"/>
                <w:sz w:val="24"/>
                <w:szCs w:val="24"/>
                <w:lang w:val="fr-CA"/>
              </w:rPr>
              <w:t>Section 1 : Explosifs à usage spécial à risque restreint</w:t>
            </w:r>
          </w:p>
        </w:tc>
      </w:tr>
      <w:tr w:rsidR="00A92CED" w:rsidRPr="00A92CED" w14:paraId="5F792FAD" w14:textId="77777777" w:rsidTr="00E10233">
        <w:tc>
          <w:tcPr>
            <w:tcW w:w="3126" w:type="dxa"/>
          </w:tcPr>
          <w:p w14:paraId="2ED8958A" w14:textId="77777777" w:rsidR="003300F2" w:rsidRPr="00A92CED" w:rsidRDefault="003300F2" w:rsidP="00B77B3F">
            <w:pPr>
              <w:pStyle w:val="ListParagraph"/>
              <w:numPr>
                <w:ilvl w:val="0"/>
                <w:numId w:val="1"/>
              </w:numPr>
              <w:jc w:val="center"/>
              <w:rPr>
                <w:lang w:val="fr-CA"/>
              </w:rPr>
            </w:pPr>
          </w:p>
        </w:tc>
        <w:tc>
          <w:tcPr>
            <w:tcW w:w="3715" w:type="dxa"/>
          </w:tcPr>
          <w:p w14:paraId="45EDA36D" w14:textId="6A716C1C" w:rsidR="003300F2" w:rsidRPr="00A92CED" w:rsidRDefault="003300F2" w:rsidP="002B1331">
            <w:pPr>
              <w:autoSpaceDE w:val="0"/>
              <w:autoSpaceDN w:val="0"/>
              <w:adjustRightInd w:val="0"/>
              <w:rPr>
                <w:rFonts w:ascii="Calibri" w:hAnsi="Calibri" w:cs="Calibri"/>
                <w:b/>
                <w:bCs/>
                <w:lang w:val="fr-CA"/>
              </w:rPr>
            </w:pPr>
            <w:r w:rsidRPr="00A92CED">
              <w:rPr>
                <w:rFonts w:ascii="Calibri" w:hAnsi="Calibri" w:cs="Calibri"/>
                <w:b/>
                <w:bCs/>
                <w:lang w:val="fr-CA"/>
              </w:rPr>
              <w:t xml:space="preserve">243 </w:t>
            </w:r>
            <w:r w:rsidRPr="00A92CED">
              <w:rPr>
                <w:rFonts w:ascii="Calibri" w:hAnsi="Calibri" w:cs="Calibri"/>
                <w:lang w:val="fr-CA"/>
              </w:rPr>
              <w:t>(1)</w:t>
            </w:r>
            <w:r w:rsidRPr="00A92CED">
              <w:rPr>
                <w:rFonts w:ascii="Calibri" w:hAnsi="Calibri" w:cs="Calibri"/>
                <w:b/>
                <w:bCs/>
                <w:lang w:val="fr-CA"/>
              </w:rPr>
              <w:t xml:space="preserve"> </w:t>
            </w:r>
            <w:r w:rsidRPr="00A92CED">
              <w:rPr>
                <w:rFonts w:ascii="Calibri" w:hAnsi="Calibri" w:cs="Calibri"/>
                <w:lang w:val="fr-CA"/>
              </w:rPr>
              <w:t>Le vendeur qui est titulaire d’une licence stocke ses explosifs à usage spécial à risque restreint dans la poudrière mentionnée dans sa licence.</w:t>
            </w:r>
          </w:p>
        </w:tc>
        <w:tc>
          <w:tcPr>
            <w:tcW w:w="4076" w:type="dxa"/>
          </w:tcPr>
          <w:p w14:paraId="48A373B3" w14:textId="1E5412A9" w:rsidR="003300F2" w:rsidRPr="00A92CED" w:rsidRDefault="003300F2" w:rsidP="002B1331">
            <w:pPr>
              <w:rPr>
                <w:bCs/>
                <w:lang w:val="fr-CA"/>
              </w:rPr>
            </w:pPr>
            <w:r w:rsidRPr="00A92CED">
              <w:rPr>
                <w:bCs/>
                <w:lang w:val="fr-CA"/>
              </w:rPr>
              <w:t>Modifier le paragraphe 243(1) pour préciser qu’un vendeur qui est titulaire d’une licence doit stocker ses explosifs à usage spécial à risque restreint dans la poudrière mentionnée dans sa licence et s’assurer que les exigences de l’article 244 sont respectées</w:t>
            </w:r>
            <w:r w:rsidRPr="00A92CED">
              <w:rPr>
                <w:rFonts w:ascii="Calibri" w:hAnsi="Calibri" w:cs="Calibri"/>
                <w:lang w:val="fr-CA"/>
              </w:rPr>
              <w:t xml:space="preserve">.  </w:t>
            </w:r>
          </w:p>
        </w:tc>
        <w:tc>
          <w:tcPr>
            <w:tcW w:w="3143" w:type="dxa"/>
            <w:gridSpan w:val="2"/>
          </w:tcPr>
          <w:p w14:paraId="419A7178" w14:textId="53B9B2AB" w:rsidR="003300F2" w:rsidRPr="00A92CED" w:rsidRDefault="003300F2" w:rsidP="002B1331">
            <w:pPr>
              <w:rPr>
                <w:lang w:val="fr-CA"/>
              </w:rPr>
            </w:pPr>
            <w:r w:rsidRPr="00A92CED">
              <w:rPr>
                <w:lang w:val="fr-CA"/>
              </w:rPr>
              <w:t>À l’heure actuelle, les exigences de l’article 244 ne s’appliquent qu’aux détaillants non titulaires d’une licence et non aux vendeurs titulaires d’une licence. Cette modification proposée comblerait cette lacune en faisant en sorte que les exigences de l’article 244 s’appliquent également aux vendeurs titulaires d’une licence.</w:t>
            </w:r>
          </w:p>
        </w:tc>
        <w:tc>
          <w:tcPr>
            <w:tcW w:w="3087" w:type="dxa"/>
          </w:tcPr>
          <w:p w14:paraId="5CFFE175" w14:textId="77777777" w:rsidR="003300F2" w:rsidRPr="00A92CED" w:rsidRDefault="003300F2" w:rsidP="00B77B3F">
            <w:pPr>
              <w:rPr>
                <w:lang w:val="fr-CA"/>
              </w:rPr>
            </w:pPr>
          </w:p>
        </w:tc>
      </w:tr>
      <w:tr w:rsidR="00A92CED" w:rsidRPr="00A92CED" w14:paraId="543BE970" w14:textId="77777777" w:rsidTr="00E10233">
        <w:tc>
          <w:tcPr>
            <w:tcW w:w="3126" w:type="dxa"/>
          </w:tcPr>
          <w:p w14:paraId="65F15C3B" w14:textId="77777777" w:rsidR="00D31FBB" w:rsidRPr="00A92CED" w:rsidRDefault="00D31FBB" w:rsidP="00B77B3F">
            <w:pPr>
              <w:pStyle w:val="ListParagraph"/>
              <w:numPr>
                <w:ilvl w:val="0"/>
                <w:numId w:val="1"/>
              </w:numPr>
              <w:jc w:val="center"/>
              <w:rPr>
                <w:lang w:val="fr-CA"/>
              </w:rPr>
            </w:pPr>
          </w:p>
        </w:tc>
        <w:tc>
          <w:tcPr>
            <w:tcW w:w="3715" w:type="dxa"/>
          </w:tcPr>
          <w:p w14:paraId="776C2583" w14:textId="140D92D5" w:rsidR="00D31FBB" w:rsidRPr="00A92CED" w:rsidRDefault="00D31FBB" w:rsidP="002B1331">
            <w:pPr>
              <w:autoSpaceDE w:val="0"/>
              <w:autoSpaceDN w:val="0"/>
              <w:adjustRightInd w:val="0"/>
              <w:rPr>
                <w:rFonts w:ascii="Calibri" w:hAnsi="Calibri" w:cs="Calibri"/>
                <w:b/>
                <w:bCs/>
                <w:lang w:val="fr-CA"/>
              </w:rPr>
            </w:pPr>
            <w:r w:rsidRPr="00A92CED">
              <w:rPr>
                <w:rFonts w:ascii="Calibri" w:hAnsi="Calibri" w:cs="Calibri"/>
                <w:b/>
                <w:bCs/>
                <w:lang w:val="fr-CA"/>
              </w:rPr>
              <w:t xml:space="preserve">244 </w:t>
            </w:r>
            <w:r w:rsidRPr="00A92CED">
              <w:rPr>
                <w:rFonts w:ascii="Calibri" w:hAnsi="Calibri" w:cs="Calibri"/>
                <w:lang w:val="fr-CA"/>
              </w:rPr>
              <w:t>(3)</w:t>
            </w:r>
            <w:r w:rsidRPr="00A92CED">
              <w:rPr>
                <w:rFonts w:ascii="Calibri" w:hAnsi="Calibri" w:cs="Calibri"/>
                <w:b/>
                <w:bCs/>
                <w:lang w:val="fr-CA"/>
              </w:rPr>
              <w:t xml:space="preserve"> </w:t>
            </w:r>
            <w:r w:rsidRPr="00A92CED">
              <w:rPr>
                <w:rFonts w:ascii="Calibri" w:hAnsi="Calibri" w:cs="Calibri"/>
                <w:lang w:val="fr-CA"/>
              </w:rPr>
              <w:t>Les fusées éclairantes exposées pour la vente sont gardées derrière un comptoir de vente ou sous clé (par exemple, dans une armoire) à moins qu’elles ne soient dans un emballage pour consommateurs.</w:t>
            </w:r>
          </w:p>
        </w:tc>
        <w:tc>
          <w:tcPr>
            <w:tcW w:w="4076" w:type="dxa"/>
          </w:tcPr>
          <w:p w14:paraId="0AE809E1" w14:textId="622BE20A" w:rsidR="00D31FBB" w:rsidRPr="00A92CED" w:rsidRDefault="00D31FBB" w:rsidP="00D31FBB">
            <w:pPr>
              <w:rPr>
                <w:bCs/>
                <w:lang w:val="fr-CA"/>
              </w:rPr>
            </w:pPr>
            <w:r w:rsidRPr="00A92CED">
              <w:rPr>
                <w:lang w:val="fr-CA"/>
              </w:rPr>
              <w:t xml:space="preserve">Modifier le paragraphe 244(3) pour préciser que les fusées qui sont exposées pour la vente doivent être gardées derrière un comptoir de vente ou sous clé (par exemple, dans une armoire) à moins qu’elles ne se trouvent dans des emballages de produits de consommation qui satisfont aux exigences du nouvel article de la partie 13 concernant les emballages de produits de consommation. </w:t>
            </w:r>
          </w:p>
        </w:tc>
        <w:tc>
          <w:tcPr>
            <w:tcW w:w="3143" w:type="dxa"/>
            <w:gridSpan w:val="2"/>
          </w:tcPr>
          <w:p w14:paraId="02CFB6D0" w14:textId="07950B88" w:rsidR="00D31FBB" w:rsidRPr="00A92CED" w:rsidRDefault="00D31FBB" w:rsidP="00D31FBB">
            <w:pPr>
              <w:rPr>
                <w:lang w:val="fr-CA"/>
              </w:rPr>
            </w:pPr>
            <w:r w:rsidRPr="00A92CED">
              <w:rPr>
                <w:lang w:val="fr-CA"/>
              </w:rPr>
              <w:t>Cette modification proposée vise à assurer l’uniformité entre la partie 13 et d’autres parties du Règlement, où les emballages de produits de consommation sont définis. L’intention est que le numéro de l’article de la modification proposée au point 102 du présent document de consultation soit mentionné dans la modification proposée.</w:t>
            </w:r>
          </w:p>
        </w:tc>
        <w:tc>
          <w:tcPr>
            <w:tcW w:w="3087" w:type="dxa"/>
          </w:tcPr>
          <w:p w14:paraId="75A4F445" w14:textId="77777777" w:rsidR="00D31FBB" w:rsidRPr="00A92CED" w:rsidRDefault="00D31FBB" w:rsidP="00B77B3F">
            <w:pPr>
              <w:rPr>
                <w:lang w:val="fr-CA"/>
              </w:rPr>
            </w:pPr>
          </w:p>
        </w:tc>
      </w:tr>
      <w:tr w:rsidR="00A92CED" w:rsidRPr="00A92CED" w14:paraId="63E8B7E0" w14:textId="77777777" w:rsidTr="00E10233">
        <w:tc>
          <w:tcPr>
            <w:tcW w:w="3126" w:type="dxa"/>
          </w:tcPr>
          <w:p w14:paraId="4CFF4878" w14:textId="77777777" w:rsidR="00D31FBB" w:rsidRPr="00A92CED" w:rsidRDefault="00D31FBB" w:rsidP="00B811AC">
            <w:pPr>
              <w:pStyle w:val="ListParagraph"/>
              <w:numPr>
                <w:ilvl w:val="0"/>
                <w:numId w:val="1"/>
              </w:numPr>
              <w:jc w:val="center"/>
              <w:rPr>
                <w:lang w:val="fr-CA"/>
              </w:rPr>
            </w:pPr>
          </w:p>
        </w:tc>
        <w:tc>
          <w:tcPr>
            <w:tcW w:w="3715" w:type="dxa"/>
          </w:tcPr>
          <w:p w14:paraId="788C0FA3" w14:textId="3897700F" w:rsidR="00D31FBB" w:rsidRPr="00A92CED" w:rsidRDefault="00D31FBB" w:rsidP="002B1331">
            <w:pPr>
              <w:autoSpaceDE w:val="0"/>
              <w:autoSpaceDN w:val="0"/>
              <w:adjustRightInd w:val="0"/>
              <w:rPr>
                <w:rFonts w:ascii="Calibri" w:hAnsi="Calibri" w:cs="Calibri"/>
                <w:b/>
                <w:bCs/>
                <w:lang w:val="fr-CA"/>
              </w:rPr>
            </w:pPr>
            <w:r w:rsidRPr="00A92CED">
              <w:rPr>
                <w:rFonts w:ascii="Calibri" w:hAnsi="Calibri" w:cs="Calibri"/>
                <w:b/>
                <w:bCs/>
                <w:lang w:val="fr-CA"/>
              </w:rPr>
              <w:t>NOUVEAU</w:t>
            </w:r>
          </w:p>
        </w:tc>
        <w:tc>
          <w:tcPr>
            <w:tcW w:w="4076" w:type="dxa"/>
          </w:tcPr>
          <w:p w14:paraId="2104904F" w14:textId="4392A54C" w:rsidR="00D31FBB" w:rsidRPr="00A92CED" w:rsidRDefault="00D31FBB" w:rsidP="00D31FBB">
            <w:pPr>
              <w:rPr>
                <w:rFonts w:ascii="Calibri" w:hAnsi="Calibri" w:cs="Calibri"/>
                <w:lang w:val="fr-CA"/>
              </w:rPr>
            </w:pPr>
            <w:r w:rsidRPr="00A92CED">
              <w:rPr>
                <w:rFonts w:ascii="Calibri" w:hAnsi="Calibri" w:cs="Calibri"/>
                <w:lang w:val="fr-CA"/>
              </w:rPr>
              <w:t>Modifier la section 1 de la partie 13 pour ajouter une nouvelle exigence selon laquelle, pour l’application de la présente section, un emballage de consommation doit satisfaire aux exigences suivantes :</w:t>
            </w:r>
          </w:p>
          <w:p w14:paraId="4720EF61" w14:textId="77777777" w:rsidR="00D31FBB" w:rsidRPr="00A92CED" w:rsidRDefault="00D31FBB" w:rsidP="00D31FBB">
            <w:pPr>
              <w:pStyle w:val="ListParagraph"/>
              <w:numPr>
                <w:ilvl w:val="0"/>
                <w:numId w:val="31"/>
              </w:numPr>
              <w:rPr>
                <w:rFonts w:ascii="Calibri" w:hAnsi="Calibri" w:cs="Calibri"/>
                <w:lang w:val="fr-CA"/>
              </w:rPr>
            </w:pPr>
            <w:r w:rsidRPr="00A92CED">
              <w:rPr>
                <w:rFonts w:ascii="Calibri" w:hAnsi="Calibri" w:cs="Calibri"/>
                <w:lang w:val="fr-CA"/>
              </w:rPr>
              <w:lastRenderedPageBreak/>
              <w:t xml:space="preserve">Il doit être suffisamment résistant pour résister à une manipulation normale. </w:t>
            </w:r>
          </w:p>
          <w:p w14:paraId="558C3D6B" w14:textId="77777777" w:rsidR="00D31FBB" w:rsidRPr="00A92CED" w:rsidRDefault="00D31FBB" w:rsidP="00D31FBB">
            <w:pPr>
              <w:pStyle w:val="ListParagraph"/>
              <w:numPr>
                <w:ilvl w:val="0"/>
                <w:numId w:val="31"/>
              </w:numPr>
              <w:rPr>
                <w:rFonts w:ascii="Calibri" w:hAnsi="Calibri" w:cs="Calibri"/>
                <w:lang w:val="fr-CA"/>
              </w:rPr>
            </w:pPr>
            <w:r w:rsidRPr="00A92CED">
              <w:rPr>
                <w:rFonts w:ascii="Calibri" w:hAnsi="Calibri" w:cs="Calibri"/>
                <w:lang w:val="fr-CA"/>
              </w:rPr>
              <w:t>Il doit être conçu de manière à empêcher une personne qui le manipule d’enflammer les explosifs spéciaux à faible risque qu’il contient, et</w:t>
            </w:r>
          </w:p>
          <w:p w14:paraId="3040DD92" w14:textId="001D2245" w:rsidR="00D31FBB" w:rsidRPr="00A92CED" w:rsidRDefault="00D31FBB" w:rsidP="00D31FBB">
            <w:pPr>
              <w:rPr>
                <w:bCs/>
                <w:lang w:val="fr-CA"/>
              </w:rPr>
            </w:pPr>
            <w:r w:rsidRPr="00A92CED">
              <w:rPr>
                <w:rFonts w:ascii="Calibri" w:hAnsi="Calibri" w:cs="Calibri"/>
                <w:lang w:val="fr-CA"/>
              </w:rPr>
              <w:t>Il doit être conçu de manière à empêcher tout déplacement des explosifs spéciaux à faible risque pendant la manutention ou le transport.</w:t>
            </w:r>
          </w:p>
        </w:tc>
        <w:tc>
          <w:tcPr>
            <w:tcW w:w="3143" w:type="dxa"/>
            <w:gridSpan w:val="2"/>
          </w:tcPr>
          <w:p w14:paraId="4380FF88" w14:textId="4278D7F0" w:rsidR="00D31FBB" w:rsidRPr="00A92CED" w:rsidRDefault="00D31FBB" w:rsidP="00D31FBB">
            <w:pPr>
              <w:rPr>
                <w:lang w:val="fr-CA"/>
              </w:rPr>
            </w:pPr>
            <w:r w:rsidRPr="00A92CED">
              <w:rPr>
                <w:lang w:val="fr-CA"/>
              </w:rPr>
              <w:lastRenderedPageBreak/>
              <w:t xml:space="preserve">Cette modification proposée vise à assurer l’uniformité entre la partie 13 et d’autres parties du Règlement, où les emballages de produits de consommation sont définis. </w:t>
            </w:r>
            <w:r w:rsidRPr="00A92CED">
              <w:rPr>
                <w:lang w:val="fr-CA"/>
              </w:rPr>
              <w:lastRenderedPageBreak/>
              <w:t xml:space="preserve">L’intention est que le numéro de la section pour cette modification proposée soit mentionné dans la modification proposée énoncée au point 101 du présent document de consultation. </w:t>
            </w:r>
          </w:p>
        </w:tc>
        <w:tc>
          <w:tcPr>
            <w:tcW w:w="3087" w:type="dxa"/>
          </w:tcPr>
          <w:p w14:paraId="46D7E7E9" w14:textId="77777777" w:rsidR="00D31FBB" w:rsidRPr="00A92CED" w:rsidRDefault="00D31FBB" w:rsidP="00B811AC">
            <w:pPr>
              <w:rPr>
                <w:lang w:val="fr-CA"/>
              </w:rPr>
            </w:pPr>
          </w:p>
        </w:tc>
      </w:tr>
      <w:tr w:rsidR="00A92CED" w:rsidRPr="00A92CED" w14:paraId="3A0D0C26" w14:textId="2429131B" w:rsidTr="00E10233">
        <w:tc>
          <w:tcPr>
            <w:tcW w:w="3126" w:type="dxa"/>
          </w:tcPr>
          <w:p w14:paraId="571E09D0" w14:textId="77777777" w:rsidR="00D31FBB" w:rsidRPr="00A92CED" w:rsidRDefault="00D31FBB" w:rsidP="00B811AC">
            <w:pPr>
              <w:pStyle w:val="ListParagraph"/>
              <w:numPr>
                <w:ilvl w:val="0"/>
                <w:numId w:val="1"/>
              </w:numPr>
              <w:jc w:val="center"/>
              <w:rPr>
                <w:lang w:val="fr-CA"/>
              </w:rPr>
            </w:pPr>
          </w:p>
        </w:tc>
        <w:tc>
          <w:tcPr>
            <w:tcW w:w="3715" w:type="dxa"/>
          </w:tcPr>
          <w:p w14:paraId="366B63BA" w14:textId="4BF7BD0B" w:rsidR="00D31FBB" w:rsidRPr="00A92CED" w:rsidRDefault="00D31FBB" w:rsidP="002B1331">
            <w:pPr>
              <w:autoSpaceDE w:val="0"/>
              <w:autoSpaceDN w:val="0"/>
              <w:adjustRightInd w:val="0"/>
              <w:rPr>
                <w:rFonts w:ascii="Calibri" w:hAnsi="Calibri" w:cs="Calibri"/>
                <w:b/>
                <w:bCs/>
                <w:lang w:val="fr-CA"/>
              </w:rPr>
            </w:pPr>
            <w:r w:rsidRPr="00A92CED">
              <w:rPr>
                <w:rFonts w:ascii="Calibri" w:hAnsi="Calibri" w:cs="Calibri"/>
                <w:b/>
                <w:bCs/>
                <w:lang w:val="fr-CA"/>
              </w:rPr>
              <w:t>245</w:t>
            </w:r>
            <w:r w:rsidRPr="00A92CED">
              <w:rPr>
                <w:rFonts w:ascii="Calibri" w:hAnsi="Calibri" w:cs="Calibri"/>
                <w:lang w:val="fr-CA"/>
              </w:rPr>
              <w:t xml:space="preserve"> (1) Au plus 1 000 kg d’explosifs à usage spécial à risque restreint peuvent être stockés dans un établissement de vente à tout moment, en comptant ceux qui sont exposés pour la vente. Si l’établissement de vente est situé dans un bâtiment qui contient un local d’habitation, au plus 100 kg peuvent être stockés dans l’établissement à tout moment, en comptant ceux qui sont exposés pour la vente.</w:t>
            </w:r>
          </w:p>
        </w:tc>
        <w:tc>
          <w:tcPr>
            <w:tcW w:w="4076" w:type="dxa"/>
          </w:tcPr>
          <w:p w14:paraId="50DDB761" w14:textId="64EB7701" w:rsidR="00D31FBB" w:rsidRPr="00A92CED" w:rsidRDefault="00D31FBB" w:rsidP="002B1331">
            <w:pPr>
              <w:rPr>
                <w:lang w:val="fr-CA"/>
              </w:rPr>
            </w:pPr>
            <w:r w:rsidRPr="00A92CED">
              <w:rPr>
                <w:bCs/>
                <w:lang w:val="fr-CA"/>
              </w:rPr>
              <w:t>Modifier la première phrase du paragraphe 245(1) pour préciser qu’au plus 1 000 kg d’explosifs à usage spécial à risque restreint peuvent être stockés dans un établissement de vente à tout moment sans licence, en comptant ceux qui sont exposés pour la vente.</w:t>
            </w:r>
          </w:p>
        </w:tc>
        <w:tc>
          <w:tcPr>
            <w:tcW w:w="3143" w:type="dxa"/>
            <w:gridSpan w:val="2"/>
          </w:tcPr>
          <w:p w14:paraId="64D0D1CA" w14:textId="6DE03786" w:rsidR="00D31FBB" w:rsidRPr="00A92CED" w:rsidRDefault="00D31FBB" w:rsidP="002B1331">
            <w:pPr>
              <w:rPr>
                <w:lang w:val="fr-CA"/>
              </w:rPr>
            </w:pPr>
            <w:r w:rsidRPr="00A92CED">
              <w:rPr>
                <w:lang w:val="fr-CA"/>
              </w:rPr>
              <w:t xml:space="preserve">Cet amendement proposé vise à préciser que plus de 1 000 kg </w:t>
            </w:r>
            <w:r w:rsidRPr="00A92CED">
              <w:rPr>
                <w:rFonts w:ascii="Calibri" w:hAnsi="Calibri" w:cs="Calibri"/>
                <w:lang w:val="fr-CA"/>
              </w:rPr>
              <w:t>d’explosifs à usage spécial à risque restreint peuvent être stockés dans un établissement de vente avec une licence</w:t>
            </w:r>
            <w:r w:rsidRPr="00A92CED">
              <w:rPr>
                <w:lang w:val="fr-CA"/>
              </w:rPr>
              <w:t xml:space="preserve">, mais que sans licence, au </w:t>
            </w:r>
            <w:r w:rsidRPr="00A92CED">
              <w:rPr>
                <w:rFonts w:ascii="Calibri" w:hAnsi="Calibri" w:cs="Calibri"/>
                <w:lang w:val="fr-CA"/>
              </w:rPr>
              <w:t>plus 1 000 kg d’explosifs à usage spécial à risque restreint peuvent être stockés dans un établissement de vente à tout moment.</w:t>
            </w:r>
          </w:p>
        </w:tc>
        <w:tc>
          <w:tcPr>
            <w:tcW w:w="3087" w:type="dxa"/>
          </w:tcPr>
          <w:p w14:paraId="56CEA9CE" w14:textId="77777777" w:rsidR="00D31FBB" w:rsidRPr="00A92CED" w:rsidRDefault="00D31FBB" w:rsidP="00B811AC">
            <w:pPr>
              <w:rPr>
                <w:lang w:val="fr-CA"/>
              </w:rPr>
            </w:pPr>
          </w:p>
        </w:tc>
      </w:tr>
      <w:tr w:rsidR="00A92CED" w:rsidRPr="00A92CED" w14:paraId="4C3A342C" w14:textId="77777777" w:rsidTr="00E10233">
        <w:tc>
          <w:tcPr>
            <w:tcW w:w="3126" w:type="dxa"/>
          </w:tcPr>
          <w:p w14:paraId="7FBB9191" w14:textId="77777777" w:rsidR="00D31FBB" w:rsidRPr="00A92CED" w:rsidRDefault="00D31FBB" w:rsidP="00B11A38">
            <w:pPr>
              <w:pStyle w:val="ListParagraph"/>
              <w:numPr>
                <w:ilvl w:val="0"/>
                <w:numId w:val="1"/>
              </w:numPr>
              <w:jc w:val="center"/>
              <w:rPr>
                <w:lang w:val="fr-CA"/>
              </w:rPr>
            </w:pPr>
          </w:p>
        </w:tc>
        <w:tc>
          <w:tcPr>
            <w:tcW w:w="3715" w:type="dxa"/>
          </w:tcPr>
          <w:p w14:paraId="59CC5F69" w14:textId="639EECCE" w:rsidR="00D31FBB" w:rsidRPr="00A92CED" w:rsidRDefault="00D31FBB" w:rsidP="002B1331">
            <w:pPr>
              <w:autoSpaceDE w:val="0"/>
              <w:autoSpaceDN w:val="0"/>
              <w:adjustRightInd w:val="0"/>
              <w:rPr>
                <w:rFonts w:ascii="Calibri" w:hAnsi="Calibri" w:cs="Calibri"/>
                <w:b/>
                <w:bCs/>
                <w:lang w:val="fr-CA"/>
              </w:rPr>
            </w:pPr>
            <w:r w:rsidRPr="00A92CED">
              <w:rPr>
                <w:rFonts w:ascii="Calibri" w:hAnsi="Calibri" w:cs="Calibri"/>
                <w:b/>
                <w:bCs/>
                <w:lang w:val="fr-CA"/>
              </w:rPr>
              <w:t>NOUVEAU</w:t>
            </w:r>
          </w:p>
        </w:tc>
        <w:tc>
          <w:tcPr>
            <w:tcW w:w="4076" w:type="dxa"/>
          </w:tcPr>
          <w:p w14:paraId="18D65EE3" w14:textId="04826AE1" w:rsidR="00D31FBB" w:rsidRPr="00A92CED" w:rsidRDefault="00D31FBB" w:rsidP="002B1331">
            <w:pPr>
              <w:rPr>
                <w:rFonts w:cstheme="minorHAnsi"/>
                <w:lang w:val="fr-CA"/>
              </w:rPr>
            </w:pPr>
            <w:r w:rsidRPr="00A92CED">
              <w:rPr>
                <w:lang w:val="fr-CA"/>
              </w:rPr>
              <w:t xml:space="preserve">Ajouter à la Section 1 de la Partie 13 une exigence selon laquelle un vendeur doit s’assurer que tout emballage ou contenant qui a été utilisé pour des explosifs de type S.1 n’est pas réutilisé à moins que </w:t>
            </w:r>
            <w:r w:rsidRPr="00A92CED">
              <w:rPr>
                <w:rFonts w:cstheme="minorHAnsi"/>
                <w:lang w:val="fr-CA"/>
              </w:rPr>
              <w:t xml:space="preserve">: </w:t>
            </w:r>
          </w:p>
          <w:p w14:paraId="7302F145" w14:textId="445185E9"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La classification aux fins du transport des explosifs de type </w:t>
            </w:r>
            <w:r w:rsidRPr="00A92CED">
              <w:rPr>
                <w:lang w:val="fr-CA"/>
              </w:rPr>
              <w:t xml:space="preserve">S.1 </w:t>
            </w:r>
            <w:r w:rsidRPr="00A92CED">
              <w:rPr>
                <w:rFonts w:cstheme="minorHAnsi"/>
                <w:lang w:val="fr-CA"/>
              </w:rPr>
              <w:t>reste inchangée;</w:t>
            </w:r>
          </w:p>
          <w:p w14:paraId="52EED6DB" w14:textId="49CB4E03"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lastRenderedPageBreak/>
              <w:t xml:space="preserve">Les explosifs de type </w:t>
            </w:r>
            <w:r w:rsidRPr="00A92CED">
              <w:rPr>
                <w:lang w:val="fr-CA"/>
              </w:rPr>
              <w:t>S.1</w:t>
            </w:r>
            <w:r w:rsidRPr="00A92CED">
              <w:rPr>
                <w:rFonts w:cstheme="minorHAnsi"/>
                <w:lang w:val="fr-CA"/>
              </w:rPr>
              <w:t xml:space="preserve"> sont disposés dans l’emballage ou le contenant de manière à réduire au minimum leur mouvement pendant le transport;</w:t>
            </w:r>
          </w:p>
          <w:p w14:paraId="2FB573E4" w14:textId="22B45F72"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L’emballage ou le contenant est fermé pour le transport de la même manière que lors de sa première utilisation;</w:t>
            </w:r>
          </w:p>
          <w:p w14:paraId="151EEE66" w14:textId="2F99CBA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La masse des explosifs de type </w:t>
            </w:r>
            <w:r w:rsidRPr="00A92CED">
              <w:rPr>
                <w:lang w:val="fr-CA"/>
              </w:rPr>
              <w:t>S.1</w:t>
            </w:r>
            <w:r w:rsidRPr="00A92CED">
              <w:rPr>
                <w:rFonts w:cstheme="minorHAnsi"/>
                <w:lang w:val="fr-CA"/>
              </w:rPr>
              <w:t xml:space="preserve"> est égale ou inférieure à la masse des explosifs lors de la première utilisation de l’emballage ou du contenant;</w:t>
            </w:r>
          </w:p>
          <w:p w14:paraId="1075232D" w14:textId="7266C213"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L’emballage ou le contenant ne présente aucun signe de dommage, de contamination ou de réduction de sa robustesse.</w:t>
            </w:r>
          </w:p>
        </w:tc>
        <w:tc>
          <w:tcPr>
            <w:tcW w:w="3143" w:type="dxa"/>
            <w:gridSpan w:val="2"/>
          </w:tcPr>
          <w:p w14:paraId="5A5BAC9B" w14:textId="2FE8FA6B" w:rsidR="00D31FBB" w:rsidRPr="00A92CED" w:rsidRDefault="00D31FBB" w:rsidP="002B1331">
            <w:pPr>
              <w:rPr>
                <w:rFonts w:cstheme="minorHAnsi"/>
                <w:lang w:val="fr-CA"/>
              </w:rPr>
            </w:pPr>
            <w:r w:rsidRPr="00A92CED">
              <w:rPr>
                <w:rFonts w:cstheme="minorHAnsi"/>
                <w:lang w:val="fr-CA"/>
              </w:rPr>
              <w:lastRenderedPageBreak/>
              <w:t>Les exigences relatives à la réutilisation des emballages d’explosifs étaient contenues auparavant dans la norme sur l’emballage de Transports Canada (CGSB-43.151) du Règlement sur le TMD.</w:t>
            </w:r>
          </w:p>
          <w:p w14:paraId="09F989B5" w14:textId="77777777" w:rsidR="00D31FBB" w:rsidRPr="00A92CED" w:rsidRDefault="00D31FBB" w:rsidP="002B1331">
            <w:pPr>
              <w:rPr>
                <w:rFonts w:cstheme="minorHAnsi"/>
                <w:lang w:val="fr-CA"/>
              </w:rPr>
            </w:pPr>
          </w:p>
          <w:p w14:paraId="1D54B534" w14:textId="5A1E81C1" w:rsidR="00D31FBB" w:rsidRPr="00A92CED" w:rsidRDefault="00D31FBB" w:rsidP="002B1331">
            <w:pPr>
              <w:rPr>
                <w:rFonts w:cstheme="minorHAnsi"/>
                <w:lang w:val="fr-CA"/>
              </w:rPr>
            </w:pPr>
            <w:r w:rsidRPr="00A92CED">
              <w:rPr>
                <w:rFonts w:cstheme="minorHAnsi"/>
                <w:lang w:val="fr-CA"/>
              </w:rPr>
              <w:lastRenderedPageBreak/>
              <w:t xml:space="preserve">À la suite de discussions entre Transports Canada et RNCan, il a été convenu de faire de la réglementation des exigences relatives à la réutilisation des emballages d’explosifs la responsabilité de RNCan plutôt que de  TC. Le pouvoir de réglementer cette question est conféré en vertu de l’alinéa 5 </w:t>
            </w:r>
            <w:r w:rsidRPr="00A92CED">
              <w:rPr>
                <w:rFonts w:cstheme="minorHAnsi"/>
                <w:i/>
                <w:iCs/>
                <w:lang w:val="fr-CA"/>
              </w:rPr>
              <w:t>c</w:t>
            </w:r>
            <w:r w:rsidRPr="00A92CED">
              <w:rPr>
                <w:rFonts w:cstheme="minorHAnsi"/>
                <w:lang w:val="fr-CA"/>
              </w:rPr>
              <w:t xml:space="preserve">) de la </w:t>
            </w:r>
            <w:r w:rsidRPr="00A92CED">
              <w:rPr>
                <w:rFonts w:cstheme="minorHAnsi"/>
                <w:i/>
                <w:iCs/>
                <w:lang w:val="fr-CA"/>
              </w:rPr>
              <w:t>Loi sur les explosifs</w:t>
            </w:r>
            <w:r w:rsidRPr="00A92CED">
              <w:rPr>
                <w:rFonts w:cstheme="minorHAnsi"/>
                <w:lang w:val="fr-CA"/>
              </w:rPr>
              <w:t>.</w:t>
            </w:r>
          </w:p>
          <w:p w14:paraId="78D33BA1" w14:textId="77777777" w:rsidR="00D31FBB" w:rsidRPr="00A92CED" w:rsidRDefault="00D31FBB" w:rsidP="002B1331">
            <w:pPr>
              <w:rPr>
                <w:lang w:val="fr-CA"/>
              </w:rPr>
            </w:pPr>
          </w:p>
        </w:tc>
        <w:tc>
          <w:tcPr>
            <w:tcW w:w="3087" w:type="dxa"/>
          </w:tcPr>
          <w:p w14:paraId="5AA377DD" w14:textId="77777777" w:rsidR="00D31FBB" w:rsidRPr="00A92CED" w:rsidRDefault="00D31FBB" w:rsidP="00B11A38">
            <w:pPr>
              <w:rPr>
                <w:lang w:val="fr-CA"/>
              </w:rPr>
            </w:pPr>
          </w:p>
        </w:tc>
      </w:tr>
      <w:tr w:rsidR="00A92CED" w:rsidRPr="00A92CED" w14:paraId="7CE8F381" w14:textId="77777777" w:rsidTr="00E10233">
        <w:tc>
          <w:tcPr>
            <w:tcW w:w="3126" w:type="dxa"/>
          </w:tcPr>
          <w:p w14:paraId="236142A1" w14:textId="77777777" w:rsidR="00D31FBB" w:rsidRPr="00A92CED" w:rsidRDefault="00D31FBB" w:rsidP="00B11A38">
            <w:pPr>
              <w:pStyle w:val="ListParagraph"/>
              <w:numPr>
                <w:ilvl w:val="0"/>
                <w:numId w:val="1"/>
              </w:numPr>
              <w:jc w:val="center"/>
              <w:rPr>
                <w:lang w:val="fr-CA"/>
              </w:rPr>
            </w:pPr>
          </w:p>
        </w:tc>
        <w:tc>
          <w:tcPr>
            <w:tcW w:w="3715" w:type="dxa"/>
          </w:tcPr>
          <w:p w14:paraId="6545DB99" w14:textId="62EF8143" w:rsidR="00D31FBB" w:rsidRPr="00A92CED" w:rsidRDefault="00D31FBB" w:rsidP="002B1331">
            <w:pPr>
              <w:autoSpaceDE w:val="0"/>
              <w:autoSpaceDN w:val="0"/>
              <w:adjustRightInd w:val="0"/>
              <w:rPr>
                <w:rFonts w:ascii="Calibri" w:hAnsi="Calibri" w:cs="Calibri"/>
                <w:b/>
                <w:bCs/>
                <w:lang w:val="fr-CA"/>
              </w:rPr>
            </w:pPr>
            <w:r w:rsidRPr="00A92CED">
              <w:rPr>
                <w:rFonts w:ascii="Calibri" w:hAnsi="Calibri" w:cs="Calibri"/>
                <w:b/>
                <w:bCs/>
                <w:lang w:val="fr-CA"/>
              </w:rPr>
              <w:t>NOUVEAU</w:t>
            </w:r>
          </w:p>
        </w:tc>
        <w:tc>
          <w:tcPr>
            <w:tcW w:w="4076" w:type="dxa"/>
          </w:tcPr>
          <w:p w14:paraId="04641B05" w14:textId="3922CCCD" w:rsidR="00D31FBB" w:rsidRPr="00A92CED" w:rsidRDefault="00D31FBB" w:rsidP="002B1331">
            <w:pPr>
              <w:rPr>
                <w:rFonts w:cstheme="minorHAnsi"/>
                <w:lang w:val="fr-CA"/>
              </w:rPr>
            </w:pPr>
            <w:r w:rsidRPr="00A92CED">
              <w:rPr>
                <w:lang w:val="fr-CA"/>
              </w:rPr>
              <w:t xml:space="preserve">Ajouter à la Section 1 de la Partie 13 une exigence selon laquelle un utilisateur doit s’assurer que tout emballage ou contenant qui a été utilisé pour des explosifs de type S.1 n’est pas réutilisé à moins que </w:t>
            </w:r>
            <w:r w:rsidRPr="00A92CED">
              <w:rPr>
                <w:rFonts w:cstheme="minorHAnsi"/>
                <w:lang w:val="fr-CA"/>
              </w:rPr>
              <w:t xml:space="preserve">: </w:t>
            </w:r>
          </w:p>
          <w:p w14:paraId="0F6D42E5"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La classification aux fins du transport des explosifs de type </w:t>
            </w:r>
            <w:r w:rsidRPr="00A92CED">
              <w:rPr>
                <w:lang w:val="fr-CA"/>
              </w:rPr>
              <w:t xml:space="preserve">S.1 </w:t>
            </w:r>
            <w:r w:rsidRPr="00A92CED">
              <w:rPr>
                <w:rFonts w:cstheme="minorHAnsi"/>
                <w:lang w:val="fr-CA"/>
              </w:rPr>
              <w:t>reste inchangée;</w:t>
            </w:r>
          </w:p>
          <w:p w14:paraId="6DAC07E2" w14:textId="2FD523C6"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Les explosifs de type </w:t>
            </w:r>
            <w:r w:rsidRPr="00A92CED">
              <w:rPr>
                <w:lang w:val="fr-CA"/>
              </w:rPr>
              <w:t>S.1</w:t>
            </w:r>
            <w:r w:rsidRPr="00A92CED">
              <w:rPr>
                <w:rFonts w:cstheme="minorHAnsi"/>
                <w:lang w:val="fr-CA"/>
              </w:rPr>
              <w:t xml:space="preserve"> sont disposés dans l’emballage ou le contenant de manière à réduire au minimum leur mouvement pendant le transport;</w:t>
            </w:r>
          </w:p>
          <w:p w14:paraId="7BB747E2" w14:textId="4E36F280"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L’emballage ou le contenant est fermé pour le transport de la </w:t>
            </w:r>
            <w:r w:rsidRPr="00A92CED">
              <w:rPr>
                <w:rFonts w:cstheme="minorHAnsi"/>
                <w:lang w:val="fr-CA"/>
              </w:rPr>
              <w:lastRenderedPageBreak/>
              <w:t>même manière que lors de sa première utilisation;</w:t>
            </w:r>
          </w:p>
          <w:p w14:paraId="414DA0C3" w14:textId="3CCC5B86"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La masse des explosifs de type </w:t>
            </w:r>
            <w:r w:rsidRPr="00A92CED">
              <w:rPr>
                <w:lang w:val="fr-CA"/>
              </w:rPr>
              <w:t>S.1</w:t>
            </w:r>
            <w:r w:rsidRPr="00A92CED">
              <w:rPr>
                <w:rFonts w:cstheme="minorHAnsi"/>
                <w:lang w:val="fr-CA"/>
              </w:rPr>
              <w:t xml:space="preserve"> est égale ou inférieure à la masse des explosifs lors de la première utilisation de l’emballage ou du contenant;</w:t>
            </w:r>
          </w:p>
          <w:p w14:paraId="440676DD" w14:textId="56FA0C6C"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L’emballage ou le contenant ne présente aucun signe de dommage, de contamination ou de réduction de sa robustesse.</w:t>
            </w:r>
          </w:p>
        </w:tc>
        <w:tc>
          <w:tcPr>
            <w:tcW w:w="3143" w:type="dxa"/>
            <w:gridSpan w:val="2"/>
          </w:tcPr>
          <w:p w14:paraId="765909F5" w14:textId="50D9B8C5" w:rsidR="00D31FBB" w:rsidRPr="00A92CED" w:rsidRDefault="00D31FBB" w:rsidP="002B1331">
            <w:pPr>
              <w:rPr>
                <w:rFonts w:cstheme="minorHAnsi"/>
                <w:lang w:val="fr-CA"/>
              </w:rPr>
            </w:pPr>
            <w:r w:rsidRPr="00A92CED">
              <w:rPr>
                <w:rFonts w:cstheme="minorHAnsi"/>
                <w:lang w:val="fr-CA"/>
              </w:rPr>
              <w:lastRenderedPageBreak/>
              <w:t>Les exigences relatives à la réutilisation des emballages d’explosifs étaient contenues auparavant dans la norme sur l’emballage de Transports Canada (CGSB-43.151) du Règlement sur le TMD.</w:t>
            </w:r>
          </w:p>
          <w:p w14:paraId="50DFF8E9" w14:textId="77777777" w:rsidR="00D31FBB" w:rsidRPr="00A92CED" w:rsidRDefault="00D31FBB" w:rsidP="002B1331">
            <w:pPr>
              <w:rPr>
                <w:rFonts w:cstheme="minorHAnsi"/>
                <w:lang w:val="fr-CA"/>
              </w:rPr>
            </w:pPr>
          </w:p>
          <w:p w14:paraId="738272B0" w14:textId="4C3A3C5B" w:rsidR="00D31FBB" w:rsidRPr="00A92CED" w:rsidRDefault="00D31FBB" w:rsidP="002B1331">
            <w:pPr>
              <w:rPr>
                <w:rFonts w:cstheme="minorHAnsi"/>
                <w:lang w:val="fr-CA"/>
              </w:rPr>
            </w:pPr>
            <w:r w:rsidRPr="00A92CED">
              <w:rPr>
                <w:rFonts w:cstheme="minorHAnsi"/>
                <w:lang w:val="fr-CA"/>
              </w:rPr>
              <w:t xml:space="preserve">À la suite de discussions entre Transports Canada et RNCan, il a été convenu de faire de la réglementation des exigences relatives à la réutilisation des emballages d’explosifs la responsabilité de RNCan plutôt </w:t>
            </w:r>
            <w:r w:rsidRPr="00A92CED">
              <w:rPr>
                <w:rFonts w:cstheme="minorHAnsi"/>
                <w:lang w:val="fr-CA"/>
              </w:rPr>
              <w:lastRenderedPageBreak/>
              <w:t xml:space="preserve">que de  TC. Le pouvoir de réglementer cette question est conféré en vertu de l’alinéa 5 </w:t>
            </w:r>
            <w:r w:rsidRPr="00A92CED">
              <w:rPr>
                <w:rFonts w:cstheme="minorHAnsi"/>
                <w:i/>
                <w:iCs/>
                <w:lang w:val="fr-CA"/>
              </w:rPr>
              <w:t>c</w:t>
            </w:r>
            <w:r w:rsidRPr="00A92CED">
              <w:rPr>
                <w:rFonts w:cstheme="minorHAnsi"/>
                <w:lang w:val="fr-CA"/>
              </w:rPr>
              <w:t xml:space="preserve">) de la </w:t>
            </w:r>
            <w:r w:rsidRPr="00A92CED">
              <w:rPr>
                <w:rFonts w:cstheme="minorHAnsi"/>
                <w:i/>
                <w:iCs/>
                <w:lang w:val="fr-CA"/>
              </w:rPr>
              <w:t>Loi sur les explosifs</w:t>
            </w:r>
            <w:r w:rsidRPr="00A92CED">
              <w:rPr>
                <w:rFonts w:cstheme="minorHAnsi"/>
                <w:lang w:val="fr-CA"/>
              </w:rPr>
              <w:t>.</w:t>
            </w:r>
          </w:p>
          <w:p w14:paraId="470AE6E8" w14:textId="77777777" w:rsidR="00D31FBB" w:rsidRPr="00A92CED" w:rsidRDefault="00D31FBB" w:rsidP="002B1331">
            <w:pPr>
              <w:rPr>
                <w:lang w:val="fr-CA"/>
              </w:rPr>
            </w:pPr>
          </w:p>
        </w:tc>
        <w:tc>
          <w:tcPr>
            <w:tcW w:w="3087" w:type="dxa"/>
          </w:tcPr>
          <w:p w14:paraId="08493E55" w14:textId="77777777" w:rsidR="00D31FBB" w:rsidRPr="00A92CED" w:rsidRDefault="00D31FBB" w:rsidP="00B11A38">
            <w:pPr>
              <w:rPr>
                <w:lang w:val="fr-CA"/>
              </w:rPr>
            </w:pPr>
          </w:p>
        </w:tc>
      </w:tr>
      <w:tr w:rsidR="00A92CED" w:rsidRPr="00A92CED" w14:paraId="1A2614A9" w14:textId="77777777" w:rsidTr="005F6775">
        <w:tc>
          <w:tcPr>
            <w:tcW w:w="17147" w:type="dxa"/>
            <w:gridSpan w:val="6"/>
            <w:shd w:val="clear" w:color="auto" w:fill="F2F2F2" w:themeFill="background1" w:themeFillShade="F2"/>
          </w:tcPr>
          <w:p w14:paraId="6804C5D3" w14:textId="4D3E5BF0" w:rsidR="00D31FBB" w:rsidRPr="00A92CED" w:rsidRDefault="00D31FBB" w:rsidP="005F6775">
            <w:pPr>
              <w:spacing w:before="60" w:after="60"/>
              <w:jc w:val="center"/>
              <w:rPr>
                <w:lang w:val="fr-CA"/>
              </w:rPr>
            </w:pPr>
            <w:r w:rsidRPr="00A92CED">
              <w:rPr>
                <w:rFonts w:ascii="Arial" w:hAnsi="Arial" w:cs="Arial"/>
                <w:sz w:val="24"/>
                <w:szCs w:val="24"/>
                <w:lang w:val="fr-CA"/>
              </w:rPr>
              <w:t>Section 2 : Explosifs à usage spécial à risque élevé</w:t>
            </w:r>
          </w:p>
        </w:tc>
      </w:tr>
      <w:tr w:rsidR="00A92CED" w:rsidRPr="00A92CED" w14:paraId="13A840FD" w14:textId="77777777" w:rsidTr="00E10233">
        <w:tc>
          <w:tcPr>
            <w:tcW w:w="3126" w:type="dxa"/>
          </w:tcPr>
          <w:p w14:paraId="1ACA2C91" w14:textId="77777777" w:rsidR="00D31FBB" w:rsidRPr="00A92CED" w:rsidRDefault="00D31FBB" w:rsidP="00B11A38">
            <w:pPr>
              <w:pStyle w:val="ListParagraph"/>
              <w:numPr>
                <w:ilvl w:val="0"/>
                <w:numId w:val="1"/>
              </w:numPr>
              <w:jc w:val="center"/>
              <w:rPr>
                <w:lang w:val="fr-CA"/>
              </w:rPr>
            </w:pPr>
          </w:p>
        </w:tc>
        <w:tc>
          <w:tcPr>
            <w:tcW w:w="3715" w:type="dxa"/>
          </w:tcPr>
          <w:p w14:paraId="591C7C48" w14:textId="131E29A2" w:rsidR="00D31FBB" w:rsidRPr="00A92CED" w:rsidRDefault="00D31FBB" w:rsidP="002B1331">
            <w:pPr>
              <w:autoSpaceDE w:val="0"/>
              <w:autoSpaceDN w:val="0"/>
              <w:adjustRightInd w:val="0"/>
              <w:rPr>
                <w:rFonts w:ascii="Calibri" w:hAnsi="Calibri" w:cs="Calibri"/>
                <w:b/>
                <w:bCs/>
                <w:lang w:val="fr-CA"/>
              </w:rPr>
            </w:pPr>
            <w:r w:rsidRPr="00A92CED">
              <w:rPr>
                <w:rFonts w:ascii="Calibri" w:hAnsi="Calibri" w:cs="Calibri"/>
                <w:b/>
                <w:bCs/>
                <w:lang w:val="fr-CA"/>
              </w:rPr>
              <w:t>NOUVEAU</w:t>
            </w:r>
          </w:p>
        </w:tc>
        <w:tc>
          <w:tcPr>
            <w:tcW w:w="4076" w:type="dxa"/>
          </w:tcPr>
          <w:p w14:paraId="5D65B9C2" w14:textId="7C93EEC9" w:rsidR="00D31FBB" w:rsidRPr="00A92CED" w:rsidRDefault="00D31FBB" w:rsidP="002B1331">
            <w:pPr>
              <w:rPr>
                <w:rFonts w:cstheme="minorHAnsi"/>
                <w:lang w:val="fr-CA"/>
              </w:rPr>
            </w:pPr>
            <w:r w:rsidRPr="00A92CED">
              <w:rPr>
                <w:lang w:val="fr-CA"/>
              </w:rPr>
              <w:t xml:space="preserve">Ajouter à la Section 2 de la Partie 13 une exigence selon laquelle un vendeur doit s’assurer que tout emballage ou contenant qui a été utilisé pour des explosifs de type S.2 n’est pas réutilisé à moins que </w:t>
            </w:r>
            <w:r w:rsidRPr="00A92CED">
              <w:rPr>
                <w:rFonts w:cstheme="minorHAnsi"/>
                <w:lang w:val="fr-CA"/>
              </w:rPr>
              <w:t xml:space="preserve">: </w:t>
            </w:r>
          </w:p>
          <w:p w14:paraId="229421C4" w14:textId="1AFCFBF4"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La classification aux fins du transport des explosifs de type </w:t>
            </w:r>
            <w:r w:rsidRPr="00A92CED">
              <w:rPr>
                <w:lang w:val="fr-CA"/>
              </w:rPr>
              <w:t xml:space="preserve">S.2 </w:t>
            </w:r>
            <w:r w:rsidRPr="00A92CED">
              <w:rPr>
                <w:rFonts w:cstheme="minorHAnsi"/>
                <w:lang w:val="fr-CA"/>
              </w:rPr>
              <w:t>reste inchangée;</w:t>
            </w:r>
          </w:p>
          <w:p w14:paraId="27E03153" w14:textId="6FE72D15"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Les explosifs de type </w:t>
            </w:r>
            <w:r w:rsidRPr="00A92CED">
              <w:rPr>
                <w:lang w:val="fr-CA"/>
              </w:rPr>
              <w:t>S.2</w:t>
            </w:r>
            <w:r w:rsidRPr="00A92CED">
              <w:rPr>
                <w:rFonts w:cstheme="minorHAnsi"/>
                <w:lang w:val="fr-CA"/>
              </w:rPr>
              <w:t xml:space="preserve"> sont disposés dans l’emballage ou le contenant de manière à réduire au minimum leur mouvement pendant le transport;</w:t>
            </w:r>
          </w:p>
          <w:p w14:paraId="5ED0FDD0" w14:textId="6CBFF71D"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L’emballage ou le contenant est fermé pour le transport de la même manière que lors de sa première utilisation;</w:t>
            </w:r>
          </w:p>
          <w:p w14:paraId="12A60B67" w14:textId="64E29623"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La masse des explosifs de type </w:t>
            </w:r>
            <w:r w:rsidRPr="00A92CED">
              <w:rPr>
                <w:lang w:val="fr-CA"/>
              </w:rPr>
              <w:t>S.2</w:t>
            </w:r>
            <w:r w:rsidRPr="00A92CED">
              <w:rPr>
                <w:rFonts w:cstheme="minorHAnsi"/>
                <w:lang w:val="fr-CA"/>
              </w:rPr>
              <w:t xml:space="preserve"> est égale ou inférieure à la masse des explosifs lors de la première </w:t>
            </w:r>
            <w:r w:rsidRPr="00A92CED">
              <w:rPr>
                <w:rFonts w:cstheme="minorHAnsi"/>
                <w:lang w:val="fr-CA"/>
              </w:rPr>
              <w:lastRenderedPageBreak/>
              <w:t>utilisation de l’emballage ou du contenant;</w:t>
            </w:r>
          </w:p>
          <w:p w14:paraId="34D8CC8B" w14:textId="0C0C932E"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L’emballage ou le contenant ne présente aucun signe de dommage, de contamination ou de réduction de sa robustesse.</w:t>
            </w:r>
          </w:p>
        </w:tc>
        <w:tc>
          <w:tcPr>
            <w:tcW w:w="3143" w:type="dxa"/>
            <w:gridSpan w:val="2"/>
          </w:tcPr>
          <w:p w14:paraId="279D01DB" w14:textId="3F1C895D" w:rsidR="00D31FBB" w:rsidRPr="00A92CED" w:rsidRDefault="00D31FBB" w:rsidP="002B1331">
            <w:pPr>
              <w:rPr>
                <w:rFonts w:cstheme="minorHAnsi"/>
                <w:lang w:val="fr-CA"/>
              </w:rPr>
            </w:pPr>
            <w:r w:rsidRPr="00A92CED">
              <w:rPr>
                <w:rFonts w:cstheme="minorHAnsi"/>
                <w:lang w:val="fr-CA"/>
              </w:rPr>
              <w:lastRenderedPageBreak/>
              <w:t>Les exigences relatives à la réutilisation des emballages d’explosifs étaient contenues auparavant dans la norme sur l’emballage de Transports Canada (CGSB-43.151) du Règlement sur le TMD.</w:t>
            </w:r>
          </w:p>
          <w:p w14:paraId="4D5CE6E8" w14:textId="77777777" w:rsidR="00D31FBB" w:rsidRPr="00A92CED" w:rsidRDefault="00D31FBB" w:rsidP="002B1331">
            <w:pPr>
              <w:rPr>
                <w:rFonts w:cstheme="minorHAnsi"/>
                <w:lang w:val="fr-CA"/>
              </w:rPr>
            </w:pPr>
          </w:p>
          <w:p w14:paraId="4C1D059A" w14:textId="550000A6" w:rsidR="00D31FBB" w:rsidRPr="00A92CED" w:rsidRDefault="00D31FBB" w:rsidP="002B1331">
            <w:pPr>
              <w:rPr>
                <w:rFonts w:cstheme="minorHAnsi"/>
                <w:lang w:val="fr-CA"/>
              </w:rPr>
            </w:pPr>
            <w:r w:rsidRPr="00A92CED">
              <w:rPr>
                <w:rFonts w:cstheme="minorHAnsi"/>
                <w:lang w:val="fr-CA"/>
              </w:rPr>
              <w:t xml:space="preserve">À la suite de discussions entre Transports Canada et RNCan, il a été convenu de faire de la réglementation des exigences relatives à la réutilisation des emballages d’explosifs la responsabilité de RNCan plutôt que de  TC. Le pouvoir de réglementer cette question est conféré en vertu de l’alinéa 5 </w:t>
            </w:r>
            <w:r w:rsidRPr="00A92CED">
              <w:rPr>
                <w:rFonts w:cstheme="minorHAnsi"/>
                <w:i/>
                <w:iCs/>
                <w:lang w:val="fr-CA"/>
              </w:rPr>
              <w:t>c</w:t>
            </w:r>
            <w:r w:rsidRPr="00A92CED">
              <w:rPr>
                <w:rFonts w:cstheme="minorHAnsi"/>
                <w:lang w:val="fr-CA"/>
              </w:rPr>
              <w:t xml:space="preserve">) de la </w:t>
            </w:r>
            <w:r w:rsidRPr="00A92CED">
              <w:rPr>
                <w:rFonts w:cstheme="minorHAnsi"/>
                <w:i/>
                <w:iCs/>
                <w:lang w:val="fr-CA"/>
              </w:rPr>
              <w:t>Loi sur les explosifs</w:t>
            </w:r>
            <w:r w:rsidRPr="00A92CED">
              <w:rPr>
                <w:rFonts w:cstheme="minorHAnsi"/>
                <w:lang w:val="fr-CA"/>
              </w:rPr>
              <w:t>.</w:t>
            </w:r>
          </w:p>
          <w:p w14:paraId="7C2BCA08" w14:textId="77777777" w:rsidR="00D31FBB" w:rsidRPr="00A92CED" w:rsidRDefault="00D31FBB" w:rsidP="002B1331">
            <w:pPr>
              <w:rPr>
                <w:lang w:val="fr-CA"/>
              </w:rPr>
            </w:pPr>
          </w:p>
        </w:tc>
        <w:tc>
          <w:tcPr>
            <w:tcW w:w="3087" w:type="dxa"/>
          </w:tcPr>
          <w:p w14:paraId="36F2976F" w14:textId="77777777" w:rsidR="00D31FBB" w:rsidRPr="00A92CED" w:rsidRDefault="00D31FBB" w:rsidP="00B11A38">
            <w:pPr>
              <w:rPr>
                <w:lang w:val="fr-CA"/>
              </w:rPr>
            </w:pPr>
          </w:p>
        </w:tc>
      </w:tr>
      <w:tr w:rsidR="00A92CED" w:rsidRPr="00A92CED" w14:paraId="351F4E67" w14:textId="77777777" w:rsidTr="00E10233">
        <w:tc>
          <w:tcPr>
            <w:tcW w:w="3126" w:type="dxa"/>
          </w:tcPr>
          <w:p w14:paraId="4EE97DA1" w14:textId="77777777" w:rsidR="00D31FBB" w:rsidRPr="00A92CED" w:rsidRDefault="00D31FBB" w:rsidP="00B11A38">
            <w:pPr>
              <w:pStyle w:val="ListParagraph"/>
              <w:numPr>
                <w:ilvl w:val="0"/>
                <w:numId w:val="1"/>
              </w:numPr>
              <w:jc w:val="center"/>
              <w:rPr>
                <w:lang w:val="fr-CA"/>
              </w:rPr>
            </w:pPr>
          </w:p>
        </w:tc>
        <w:tc>
          <w:tcPr>
            <w:tcW w:w="3715" w:type="dxa"/>
          </w:tcPr>
          <w:p w14:paraId="6E85589C" w14:textId="072FF237" w:rsidR="00D31FBB" w:rsidRPr="00A92CED" w:rsidRDefault="00D31FBB" w:rsidP="002B1331">
            <w:pPr>
              <w:autoSpaceDE w:val="0"/>
              <w:autoSpaceDN w:val="0"/>
              <w:adjustRightInd w:val="0"/>
              <w:rPr>
                <w:rFonts w:ascii="Calibri" w:hAnsi="Calibri" w:cs="Calibri"/>
                <w:b/>
                <w:bCs/>
                <w:lang w:val="fr-CA"/>
              </w:rPr>
            </w:pPr>
            <w:r w:rsidRPr="00A92CED">
              <w:rPr>
                <w:rFonts w:ascii="Calibri" w:hAnsi="Calibri" w:cs="Calibri"/>
                <w:b/>
                <w:bCs/>
                <w:lang w:val="fr-CA"/>
              </w:rPr>
              <w:t>NOUVEAU</w:t>
            </w:r>
          </w:p>
        </w:tc>
        <w:tc>
          <w:tcPr>
            <w:tcW w:w="4076" w:type="dxa"/>
          </w:tcPr>
          <w:p w14:paraId="09B833FE" w14:textId="6532BBB8" w:rsidR="00D31FBB" w:rsidRPr="00A92CED" w:rsidRDefault="00D31FBB" w:rsidP="002B1331">
            <w:pPr>
              <w:rPr>
                <w:rFonts w:cstheme="minorHAnsi"/>
                <w:lang w:val="fr-CA"/>
              </w:rPr>
            </w:pPr>
            <w:r w:rsidRPr="00A92CED">
              <w:rPr>
                <w:lang w:val="fr-CA"/>
              </w:rPr>
              <w:t xml:space="preserve">Ajouter à la Section 2 de la Partie 13 une exigence selon laquelle un utilisateur doit s’assurer que tout emballage ou contenant qui a été utilisé pour des explosifs de type S.2 n’est pas réutilisé à moins que </w:t>
            </w:r>
            <w:r w:rsidRPr="00A92CED">
              <w:rPr>
                <w:rFonts w:cstheme="minorHAnsi"/>
                <w:lang w:val="fr-CA"/>
              </w:rPr>
              <w:t xml:space="preserve">: </w:t>
            </w:r>
          </w:p>
          <w:p w14:paraId="7AAF5A68" w14:textId="6C25DC2B"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La classification aux fins du transport des explosifs de type </w:t>
            </w:r>
            <w:r w:rsidRPr="00A92CED">
              <w:rPr>
                <w:lang w:val="fr-CA"/>
              </w:rPr>
              <w:t xml:space="preserve">S.2 </w:t>
            </w:r>
            <w:r w:rsidRPr="00A92CED">
              <w:rPr>
                <w:rFonts w:cstheme="minorHAnsi"/>
                <w:lang w:val="fr-CA"/>
              </w:rPr>
              <w:t>reste inchangée;</w:t>
            </w:r>
          </w:p>
          <w:p w14:paraId="342C3E65" w14:textId="51DB1F6C"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Les explosifs de type </w:t>
            </w:r>
            <w:r w:rsidRPr="00A92CED">
              <w:rPr>
                <w:lang w:val="fr-CA"/>
              </w:rPr>
              <w:t>S.2</w:t>
            </w:r>
            <w:r w:rsidRPr="00A92CED">
              <w:rPr>
                <w:rFonts w:cstheme="minorHAnsi"/>
                <w:lang w:val="fr-CA"/>
              </w:rPr>
              <w:t xml:space="preserve"> sont disposés dans l’emballage ou le contenant de manière à réduire au minimum leur mouvement pendant le transport;</w:t>
            </w:r>
          </w:p>
          <w:p w14:paraId="206270D9"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L’emballage ou le contenant est fermé pour le transport de la même manière que lors de sa première utilisation;</w:t>
            </w:r>
          </w:p>
          <w:p w14:paraId="7B900B98" w14:textId="6E7336FF"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La masse des explosifs de type </w:t>
            </w:r>
            <w:r w:rsidRPr="00A92CED">
              <w:rPr>
                <w:lang w:val="fr-CA"/>
              </w:rPr>
              <w:t>S.2</w:t>
            </w:r>
            <w:r w:rsidRPr="00A92CED">
              <w:rPr>
                <w:rFonts w:cstheme="minorHAnsi"/>
                <w:lang w:val="fr-CA"/>
              </w:rPr>
              <w:t xml:space="preserve"> est égale ou inférieure à la masse des explosifs lors de la première utilisation de l’emballage ou du contenant;</w:t>
            </w:r>
          </w:p>
          <w:p w14:paraId="0CA551AF" w14:textId="6019D375"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L’emballage ou le contenant ne présente aucun signe de dommage, de contamination ou de réduction de sa robustesse.</w:t>
            </w:r>
          </w:p>
        </w:tc>
        <w:tc>
          <w:tcPr>
            <w:tcW w:w="3143" w:type="dxa"/>
            <w:gridSpan w:val="2"/>
          </w:tcPr>
          <w:p w14:paraId="6E58BADA" w14:textId="037928BD" w:rsidR="00D31FBB" w:rsidRPr="00A92CED" w:rsidRDefault="00D31FBB" w:rsidP="002B1331">
            <w:pPr>
              <w:rPr>
                <w:rFonts w:cstheme="minorHAnsi"/>
                <w:lang w:val="fr-CA"/>
              </w:rPr>
            </w:pPr>
            <w:r w:rsidRPr="00A92CED">
              <w:rPr>
                <w:rFonts w:cstheme="minorHAnsi"/>
                <w:lang w:val="fr-CA"/>
              </w:rPr>
              <w:t>Les exigences relatives à la réutilisation des emballages d’explosifs étaient contenues auparavant dans la norme sur l’emballage de Transports Canada (CGSB-43.151) du Règlement sur le TMD.</w:t>
            </w:r>
          </w:p>
          <w:p w14:paraId="5D053411" w14:textId="77777777" w:rsidR="00D31FBB" w:rsidRPr="00A92CED" w:rsidRDefault="00D31FBB" w:rsidP="002B1331">
            <w:pPr>
              <w:rPr>
                <w:rFonts w:cstheme="minorHAnsi"/>
                <w:lang w:val="fr-CA"/>
              </w:rPr>
            </w:pPr>
          </w:p>
          <w:p w14:paraId="75E5EA57" w14:textId="083546E5" w:rsidR="00D31FBB" w:rsidRPr="00A92CED" w:rsidRDefault="00D31FBB" w:rsidP="002B1331">
            <w:pPr>
              <w:rPr>
                <w:rFonts w:cstheme="minorHAnsi"/>
                <w:lang w:val="fr-CA"/>
              </w:rPr>
            </w:pPr>
            <w:r w:rsidRPr="00A92CED">
              <w:rPr>
                <w:rFonts w:cstheme="minorHAnsi"/>
                <w:lang w:val="fr-CA"/>
              </w:rPr>
              <w:t xml:space="preserve">À la suite de discussions entre Transports Canada et RNCan, il a été convenu de faire de la réglementation des exigences relatives à la réutilisation des emballages d’explosifs la responsabilité de RNCan plutôt que de  TC. Le pouvoir de réglementer cette question est conféré en vertu de l’alinéa 5 </w:t>
            </w:r>
            <w:r w:rsidRPr="00A92CED">
              <w:rPr>
                <w:rFonts w:cstheme="minorHAnsi"/>
                <w:i/>
                <w:iCs/>
                <w:lang w:val="fr-CA"/>
              </w:rPr>
              <w:t>c</w:t>
            </w:r>
            <w:r w:rsidRPr="00A92CED">
              <w:rPr>
                <w:rFonts w:cstheme="minorHAnsi"/>
                <w:lang w:val="fr-CA"/>
              </w:rPr>
              <w:t xml:space="preserve">) de la </w:t>
            </w:r>
            <w:r w:rsidRPr="00A92CED">
              <w:rPr>
                <w:rFonts w:cstheme="minorHAnsi"/>
                <w:i/>
                <w:iCs/>
                <w:lang w:val="fr-CA"/>
              </w:rPr>
              <w:t>Loi sur les explosifs</w:t>
            </w:r>
            <w:r w:rsidRPr="00A92CED">
              <w:rPr>
                <w:rFonts w:cstheme="minorHAnsi"/>
                <w:lang w:val="fr-CA"/>
              </w:rPr>
              <w:t>.</w:t>
            </w:r>
          </w:p>
          <w:p w14:paraId="3D3B678A" w14:textId="77777777" w:rsidR="00D31FBB" w:rsidRPr="00A92CED" w:rsidRDefault="00D31FBB" w:rsidP="002B1331">
            <w:pPr>
              <w:rPr>
                <w:lang w:val="fr-CA"/>
              </w:rPr>
            </w:pPr>
          </w:p>
        </w:tc>
        <w:tc>
          <w:tcPr>
            <w:tcW w:w="3087" w:type="dxa"/>
          </w:tcPr>
          <w:p w14:paraId="2AFFDF1E" w14:textId="77777777" w:rsidR="00D31FBB" w:rsidRPr="00A92CED" w:rsidRDefault="00D31FBB" w:rsidP="00B11A38">
            <w:pPr>
              <w:rPr>
                <w:lang w:val="fr-CA"/>
              </w:rPr>
            </w:pPr>
          </w:p>
        </w:tc>
      </w:tr>
      <w:tr w:rsidR="00A92CED" w:rsidRPr="00A92CED" w14:paraId="7C8EB4A9" w14:textId="77777777" w:rsidTr="00D15EFA">
        <w:tc>
          <w:tcPr>
            <w:tcW w:w="17147" w:type="dxa"/>
            <w:gridSpan w:val="6"/>
            <w:shd w:val="clear" w:color="auto" w:fill="D9D9D9" w:themeFill="background1" w:themeFillShade="D9"/>
          </w:tcPr>
          <w:p w14:paraId="3431FB9E" w14:textId="6672615D" w:rsidR="00D31FBB" w:rsidRPr="00A92CED" w:rsidRDefault="00D31FBB" w:rsidP="00D15EFA">
            <w:pPr>
              <w:spacing w:before="60" w:after="60"/>
              <w:jc w:val="center"/>
              <w:rPr>
                <w:lang w:val="fr-CA"/>
              </w:rPr>
            </w:pPr>
            <w:r w:rsidRPr="00A92CED">
              <w:rPr>
                <w:rFonts w:ascii="Arial" w:hAnsi="Arial" w:cs="Arial"/>
                <w:b/>
                <w:sz w:val="24"/>
                <w:szCs w:val="24"/>
                <w:lang w:val="fr-CA"/>
              </w:rPr>
              <w:lastRenderedPageBreak/>
              <w:t>PARTIE 14 – Cartouches pour armes de petit calibre, poudre propulsive et amorces à percussion</w:t>
            </w:r>
          </w:p>
        </w:tc>
      </w:tr>
      <w:tr w:rsidR="00A92CED" w:rsidRPr="00A92CED" w14:paraId="28F0DF3A" w14:textId="77777777" w:rsidTr="00E10233">
        <w:tc>
          <w:tcPr>
            <w:tcW w:w="3126" w:type="dxa"/>
          </w:tcPr>
          <w:p w14:paraId="7F5C66A1" w14:textId="77777777" w:rsidR="00D31FBB" w:rsidRPr="00A92CED" w:rsidRDefault="00D31FBB" w:rsidP="00B11A38">
            <w:pPr>
              <w:pStyle w:val="ListParagraph"/>
              <w:numPr>
                <w:ilvl w:val="0"/>
                <w:numId w:val="1"/>
              </w:numPr>
              <w:jc w:val="center"/>
              <w:rPr>
                <w:lang w:val="fr-CA"/>
              </w:rPr>
            </w:pPr>
          </w:p>
        </w:tc>
        <w:tc>
          <w:tcPr>
            <w:tcW w:w="3715" w:type="dxa"/>
          </w:tcPr>
          <w:p w14:paraId="16DA1E36" w14:textId="3A43FCE5" w:rsidR="00D31FBB" w:rsidRPr="00A92CED" w:rsidRDefault="00D31FBB" w:rsidP="002B1331">
            <w:pPr>
              <w:autoSpaceDE w:val="0"/>
              <w:autoSpaceDN w:val="0"/>
              <w:adjustRightInd w:val="0"/>
              <w:rPr>
                <w:rFonts w:ascii="Calibri" w:hAnsi="Calibri" w:cs="Calibri"/>
                <w:b/>
                <w:bCs/>
                <w:lang w:val="fr-CA"/>
              </w:rPr>
            </w:pPr>
            <w:r w:rsidRPr="00A92CED">
              <w:rPr>
                <w:rFonts w:ascii="Calibri" w:hAnsi="Calibri" w:cs="Calibri"/>
                <w:b/>
                <w:bCs/>
                <w:lang w:val="fr-CA"/>
              </w:rPr>
              <w:t xml:space="preserve">268 </w:t>
            </w:r>
            <w:r w:rsidRPr="00A92CED">
              <w:rPr>
                <w:rFonts w:ascii="Calibri" w:hAnsi="Calibri" w:cs="Calibri"/>
                <w:lang w:val="fr-CA"/>
              </w:rPr>
              <w:t>(1)</w:t>
            </w:r>
            <w:r w:rsidRPr="00A92CED">
              <w:rPr>
                <w:rFonts w:ascii="Calibri" w:hAnsi="Calibri" w:cs="Calibri"/>
                <w:b/>
                <w:bCs/>
                <w:lang w:val="fr-CA"/>
              </w:rPr>
              <w:t xml:space="preserve"> </w:t>
            </w:r>
            <w:r w:rsidRPr="00A92CED">
              <w:rPr>
                <w:rFonts w:ascii="Calibri" w:hAnsi="Calibri" w:cs="Calibri"/>
                <w:lang w:val="fr-CA"/>
              </w:rPr>
              <w:t>Les définitions qui suivent s’appliquent à la présente partie.</w:t>
            </w:r>
          </w:p>
        </w:tc>
        <w:tc>
          <w:tcPr>
            <w:tcW w:w="4076" w:type="dxa"/>
          </w:tcPr>
          <w:p w14:paraId="73A899C5" w14:textId="77777777" w:rsidR="00D31FBB" w:rsidRPr="00A92CED" w:rsidRDefault="00D31FBB" w:rsidP="00D31FBB">
            <w:pPr>
              <w:rPr>
                <w:bCs/>
                <w:lang w:val="fr-CA"/>
              </w:rPr>
            </w:pPr>
            <w:r w:rsidRPr="00A92CED">
              <w:rPr>
                <w:bCs/>
                <w:lang w:val="fr-CA"/>
              </w:rPr>
              <w:t>Modifier le paragraphe 268(1) par adjonction de la définition suivante :</w:t>
            </w:r>
          </w:p>
          <w:p w14:paraId="26201E5E" w14:textId="77777777" w:rsidR="00D31FBB" w:rsidRPr="00A92CED" w:rsidRDefault="00D31FBB" w:rsidP="00D31FBB">
            <w:pPr>
              <w:rPr>
                <w:bCs/>
                <w:lang w:val="fr-CA"/>
              </w:rPr>
            </w:pPr>
          </w:p>
          <w:p w14:paraId="48C5AA80" w14:textId="5907D03B" w:rsidR="00D31FBB" w:rsidRPr="00A92CED" w:rsidRDefault="00D31FBB" w:rsidP="00D31FBB">
            <w:pPr>
              <w:ind w:left="389"/>
              <w:rPr>
                <w:bCs/>
                <w:lang w:val="fr-CA"/>
              </w:rPr>
            </w:pPr>
            <w:r w:rsidRPr="00A92CED">
              <w:rPr>
                <w:rFonts w:ascii="Calibri" w:hAnsi="Calibri" w:cs="Calibri"/>
                <w:b/>
                <w:i/>
                <w:lang w:val="fr-CA"/>
              </w:rPr>
              <w:t xml:space="preserve">QNE </w:t>
            </w:r>
            <w:r w:rsidRPr="00A92CED">
              <w:rPr>
                <w:rFonts w:ascii="Calibri" w:hAnsi="Calibri" w:cs="Calibri"/>
                <w:lang w:val="fr-CA"/>
              </w:rPr>
              <w:t>signifie la quantité nette d’explosifs (la masse de l’explosif, à l’exclusion de la masse de tout emballage ou contenant).</w:t>
            </w:r>
          </w:p>
        </w:tc>
        <w:tc>
          <w:tcPr>
            <w:tcW w:w="3143" w:type="dxa"/>
            <w:gridSpan w:val="2"/>
          </w:tcPr>
          <w:p w14:paraId="622AC2C5" w14:textId="27273CB8" w:rsidR="00D31FBB" w:rsidRPr="00A92CED" w:rsidRDefault="00D31FBB" w:rsidP="00D31FBB">
            <w:pPr>
              <w:rPr>
                <w:lang w:val="fr-CA"/>
              </w:rPr>
            </w:pPr>
            <w:r w:rsidRPr="00A92CED">
              <w:rPr>
                <w:lang w:val="fr-CA"/>
              </w:rPr>
              <w:t>La modification proposée vise à appuyer la nouvelle modification proposée à la section 2 de la partie 14 au point 116 du présent document de consultation, qui utilise ce terme.</w:t>
            </w:r>
          </w:p>
        </w:tc>
        <w:tc>
          <w:tcPr>
            <w:tcW w:w="3087" w:type="dxa"/>
          </w:tcPr>
          <w:p w14:paraId="1D7EEA57" w14:textId="77777777" w:rsidR="00D31FBB" w:rsidRPr="00A92CED" w:rsidRDefault="00D31FBB" w:rsidP="00B11A38">
            <w:pPr>
              <w:rPr>
                <w:lang w:val="fr-CA"/>
              </w:rPr>
            </w:pPr>
          </w:p>
        </w:tc>
      </w:tr>
      <w:tr w:rsidR="00A92CED" w:rsidRPr="00A92CED" w14:paraId="70E1B642" w14:textId="77777777" w:rsidTr="00957039">
        <w:tc>
          <w:tcPr>
            <w:tcW w:w="17147" w:type="dxa"/>
            <w:gridSpan w:val="6"/>
            <w:shd w:val="clear" w:color="auto" w:fill="F2F2F2" w:themeFill="background1" w:themeFillShade="F2"/>
          </w:tcPr>
          <w:p w14:paraId="46602113" w14:textId="4B3C049B" w:rsidR="00D31FBB" w:rsidRPr="00A92CED" w:rsidRDefault="00D31FBB" w:rsidP="00D31FBB">
            <w:pPr>
              <w:spacing w:before="60" w:after="60"/>
              <w:jc w:val="center"/>
              <w:rPr>
                <w:lang w:val="fr-CA"/>
              </w:rPr>
            </w:pPr>
            <w:r w:rsidRPr="00A92CED">
              <w:rPr>
                <w:rFonts w:ascii="Arial" w:hAnsi="Arial" w:cs="Arial"/>
                <w:sz w:val="24"/>
                <w:szCs w:val="24"/>
                <w:lang w:val="fr-CA"/>
              </w:rPr>
              <w:t>Section 1 : Cartouches pour armes de petit calibre</w:t>
            </w:r>
          </w:p>
        </w:tc>
      </w:tr>
      <w:tr w:rsidR="00A92CED" w:rsidRPr="00A92CED" w14:paraId="06D6B2BB" w14:textId="77777777" w:rsidTr="00E10233">
        <w:tc>
          <w:tcPr>
            <w:tcW w:w="3126" w:type="dxa"/>
          </w:tcPr>
          <w:p w14:paraId="52D7FD68" w14:textId="77777777" w:rsidR="00D31FBB" w:rsidRPr="00A92CED" w:rsidRDefault="00D31FBB" w:rsidP="00B11A38">
            <w:pPr>
              <w:pStyle w:val="ListParagraph"/>
              <w:numPr>
                <w:ilvl w:val="0"/>
                <w:numId w:val="1"/>
              </w:numPr>
              <w:jc w:val="center"/>
              <w:rPr>
                <w:lang w:val="fr-CA"/>
              </w:rPr>
            </w:pPr>
          </w:p>
        </w:tc>
        <w:tc>
          <w:tcPr>
            <w:tcW w:w="3715" w:type="dxa"/>
          </w:tcPr>
          <w:p w14:paraId="432163DC" w14:textId="78D8BED2" w:rsidR="00D31FBB" w:rsidRPr="00A92CED" w:rsidRDefault="00D31FBB" w:rsidP="002B1331">
            <w:pPr>
              <w:autoSpaceDE w:val="0"/>
              <w:autoSpaceDN w:val="0"/>
              <w:adjustRightInd w:val="0"/>
              <w:rPr>
                <w:rFonts w:ascii="Calibri" w:hAnsi="Calibri" w:cs="Calibri"/>
                <w:b/>
                <w:bCs/>
                <w:lang w:val="fr-CA"/>
              </w:rPr>
            </w:pPr>
            <w:r w:rsidRPr="00A92CED">
              <w:rPr>
                <w:rFonts w:ascii="Calibri" w:hAnsi="Calibri" w:cs="Calibri"/>
                <w:b/>
                <w:bCs/>
                <w:lang w:val="fr-CA"/>
              </w:rPr>
              <w:t>272</w:t>
            </w:r>
            <w:r w:rsidRPr="00A92CED">
              <w:rPr>
                <w:rFonts w:ascii="Calibri" w:hAnsi="Calibri" w:cs="Calibri"/>
                <w:lang w:val="fr-CA"/>
              </w:rPr>
              <w:t xml:space="preserve"> (1) Le vendeur qui est titulaire d’une licence stocke ses cartouches pour armes de petit calibre dans la poudrière mentionnée dans sa licence.</w:t>
            </w:r>
          </w:p>
        </w:tc>
        <w:tc>
          <w:tcPr>
            <w:tcW w:w="4076" w:type="dxa"/>
          </w:tcPr>
          <w:p w14:paraId="7300CA08" w14:textId="055CECBE" w:rsidR="00D31FBB" w:rsidRPr="00A92CED" w:rsidRDefault="00D31FBB" w:rsidP="002B1331">
            <w:pPr>
              <w:rPr>
                <w:bCs/>
                <w:lang w:val="fr-CA"/>
              </w:rPr>
            </w:pPr>
            <w:r w:rsidRPr="00A92CED">
              <w:rPr>
                <w:bCs/>
                <w:lang w:val="fr-CA"/>
              </w:rPr>
              <w:t xml:space="preserve">Modifier le paragraphe 243(1) pour préciser qu’un vendeur qui est titulaire d’une licence doit stocker ses </w:t>
            </w:r>
            <w:r w:rsidRPr="00A92CED">
              <w:rPr>
                <w:rFonts w:ascii="Calibri" w:hAnsi="Calibri" w:cs="Calibri"/>
                <w:lang w:val="fr-CA"/>
              </w:rPr>
              <w:t xml:space="preserve">cartouches pour armes de petit calibre </w:t>
            </w:r>
            <w:r w:rsidRPr="00A92CED">
              <w:rPr>
                <w:bCs/>
                <w:lang w:val="fr-CA"/>
              </w:rPr>
              <w:t>dans la poudrière mentionnée dans sa licence et s’assurer que les exigences des articles 273 et 274 sont respectées</w:t>
            </w:r>
            <w:r w:rsidRPr="00A92CED">
              <w:rPr>
                <w:rFonts w:ascii="Calibri" w:hAnsi="Calibri" w:cs="Calibri"/>
                <w:lang w:val="fr-CA"/>
              </w:rPr>
              <w:t xml:space="preserve">.  </w:t>
            </w:r>
          </w:p>
        </w:tc>
        <w:tc>
          <w:tcPr>
            <w:tcW w:w="3143" w:type="dxa"/>
            <w:gridSpan w:val="2"/>
          </w:tcPr>
          <w:p w14:paraId="00539051" w14:textId="4A76C5FA" w:rsidR="00D31FBB" w:rsidRPr="00A92CED" w:rsidRDefault="00D31FBB" w:rsidP="002B1331">
            <w:pPr>
              <w:rPr>
                <w:lang w:val="fr-CA"/>
              </w:rPr>
            </w:pPr>
            <w:r w:rsidRPr="00A92CED">
              <w:rPr>
                <w:lang w:val="fr-CA"/>
              </w:rPr>
              <w:t>À l’heure actuelle, les exigences des articles 273 et 274 ne s’appliquent qu’aux détaillants non titulaires d’une licence et non aux vendeurs titulaires d’une licence. Cette modification proposée comblerait cette lacune en faisant en sorte que les exigences des articles 273 et 274 s’appliquent également aux vendeurs titulaires d’une licence.</w:t>
            </w:r>
          </w:p>
        </w:tc>
        <w:tc>
          <w:tcPr>
            <w:tcW w:w="3087" w:type="dxa"/>
          </w:tcPr>
          <w:p w14:paraId="20D42D33" w14:textId="77777777" w:rsidR="00D31FBB" w:rsidRPr="00A92CED" w:rsidRDefault="00D31FBB" w:rsidP="00B11A38">
            <w:pPr>
              <w:rPr>
                <w:lang w:val="fr-CA"/>
              </w:rPr>
            </w:pPr>
          </w:p>
        </w:tc>
      </w:tr>
      <w:tr w:rsidR="00A92CED" w:rsidRPr="00A92CED" w14:paraId="08829846" w14:textId="77777777" w:rsidTr="00E10233">
        <w:tc>
          <w:tcPr>
            <w:tcW w:w="3126" w:type="dxa"/>
          </w:tcPr>
          <w:p w14:paraId="2D10718D" w14:textId="77777777" w:rsidR="00D31FBB" w:rsidRPr="00A92CED" w:rsidRDefault="00D31FBB" w:rsidP="00B11A38">
            <w:pPr>
              <w:pStyle w:val="ListParagraph"/>
              <w:numPr>
                <w:ilvl w:val="0"/>
                <w:numId w:val="1"/>
              </w:numPr>
              <w:jc w:val="center"/>
              <w:rPr>
                <w:lang w:val="fr-CA"/>
              </w:rPr>
            </w:pPr>
          </w:p>
        </w:tc>
        <w:tc>
          <w:tcPr>
            <w:tcW w:w="3715" w:type="dxa"/>
          </w:tcPr>
          <w:p w14:paraId="6AE0F88D" w14:textId="2FC9224C" w:rsidR="00D31FBB" w:rsidRPr="00A92CED" w:rsidRDefault="00D31FBB" w:rsidP="002B1331">
            <w:pPr>
              <w:autoSpaceDE w:val="0"/>
              <w:autoSpaceDN w:val="0"/>
              <w:adjustRightInd w:val="0"/>
              <w:rPr>
                <w:rFonts w:ascii="Calibri" w:hAnsi="Calibri" w:cs="Calibri"/>
                <w:b/>
                <w:bCs/>
                <w:lang w:val="fr-CA"/>
              </w:rPr>
            </w:pPr>
            <w:r w:rsidRPr="00A92CED">
              <w:rPr>
                <w:rFonts w:ascii="Calibri" w:hAnsi="Calibri" w:cs="Calibri"/>
                <w:b/>
                <w:bCs/>
                <w:lang w:val="fr-CA"/>
              </w:rPr>
              <w:t>NOUVEAU</w:t>
            </w:r>
          </w:p>
        </w:tc>
        <w:tc>
          <w:tcPr>
            <w:tcW w:w="4076" w:type="dxa"/>
          </w:tcPr>
          <w:p w14:paraId="583E3752" w14:textId="43A41362" w:rsidR="00D31FBB" w:rsidRPr="00A92CED" w:rsidRDefault="00D31FBB" w:rsidP="002B1331">
            <w:pPr>
              <w:rPr>
                <w:rFonts w:cstheme="minorHAnsi"/>
                <w:lang w:val="fr-CA"/>
              </w:rPr>
            </w:pPr>
            <w:r w:rsidRPr="00A92CED">
              <w:rPr>
                <w:lang w:val="fr-CA"/>
              </w:rPr>
              <w:t xml:space="preserve">Ajouter à la Section 1 de la Partie 14 une exigence selon laquelle un vendeur doit s’assurer que tout emballage ou contenant qui a été utilisé pour des explosifs de type C.1 n’est pas réutilisé à moins que </w:t>
            </w:r>
            <w:r w:rsidRPr="00A92CED">
              <w:rPr>
                <w:rFonts w:cstheme="minorHAnsi"/>
                <w:lang w:val="fr-CA"/>
              </w:rPr>
              <w:t xml:space="preserve">: </w:t>
            </w:r>
          </w:p>
          <w:p w14:paraId="65DD249F" w14:textId="23BBEF74"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La classification aux fins du transport des explosifs de type </w:t>
            </w:r>
            <w:r w:rsidRPr="00A92CED">
              <w:rPr>
                <w:lang w:val="fr-CA"/>
              </w:rPr>
              <w:t xml:space="preserve">C.1 </w:t>
            </w:r>
            <w:r w:rsidRPr="00A92CED">
              <w:rPr>
                <w:rFonts w:cstheme="minorHAnsi"/>
                <w:lang w:val="fr-CA"/>
              </w:rPr>
              <w:t>reste inchangée;</w:t>
            </w:r>
          </w:p>
          <w:p w14:paraId="6FD2CDD0" w14:textId="7ACCD9D1"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Les explosifs de type </w:t>
            </w:r>
            <w:r w:rsidRPr="00A92CED">
              <w:rPr>
                <w:lang w:val="fr-CA"/>
              </w:rPr>
              <w:t>C.1</w:t>
            </w:r>
            <w:r w:rsidRPr="00A92CED">
              <w:rPr>
                <w:rFonts w:cstheme="minorHAnsi"/>
                <w:lang w:val="fr-CA"/>
              </w:rPr>
              <w:t xml:space="preserve"> sont disposés dans l’emballage ou le </w:t>
            </w:r>
            <w:r w:rsidRPr="00A92CED">
              <w:rPr>
                <w:rFonts w:cstheme="minorHAnsi"/>
                <w:lang w:val="fr-CA"/>
              </w:rPr>
              <w:lastRenderedPageBreak/>
              <w:t>contenant de manière à réduire au minimum leur mouvement pendant le transport;</w:t>
            </w:r>
          </w:p>
          <w:p w14:paraId="052E8D8A"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L’emballage ou le contenant est fermé pour le transport de la même manière que lors de sa première utilisation;</w:t>
            </w:r>
          </w:p>
          <w:p w14:paraId="65F8AD0A" w14:textId="7CB4B8AF" w:rsidR="00D31FBB" w:rsidRPr="00A92CED" w:rsidRDefault="00D31FBB" w:rsidP="002B1331">
            <w:pPr>
              <w:pStyle w:val="ListParagraph"/>
              <w:numPr>
                <w:ilvl w:val="0"/>
                <w:numId w:val="27"/>
              </w:numPr>
              <w:ind w:left="714" w:hanging="357"/>
              <w:contextualSpacing w:val="0"/>
              <w:rPr>
                <w:rFonts w:cstheme="minorHAnsi"/>
                <w:lang w:val="fr-CA"/>
              </w:rPr>
            </w:pPr>
            <w:r w:rsidRPr="00A92CED">
              <w:rPr>
                <w:rFonts w:cstheme="minorHAnsi"/>
                <w:lang w:val="fr-CA"/>
              </w:rPr>
              <w:t>La masse des explosifs de type </w:t>
            </w:r>
            <w:r w:rsidRPr="00A92CED">
              <w:rPr>
                <w:lang w:val="fr-CA"/>
              </w:rPr>
              <w:t>C.1</w:t>
            </w:r>
            <w:r w:rsidRPr="00A92CED">
              <w:rPr>
                <w:rFonts w:cstheme="minorHAnsi"/>
                <w:lang w:val="fr-CA"/>
              </w:rPr>
              <w:t xml:space="preserve"> est égale ou inférieure à la masse des explosifs lors de la première utilisation de l’emballage ou du contenant;</w:t>
            </w:r>
          </w:p>
          <w:p w14:paraId="53AC1A41" w14:textId="10134488" w:rsidR="00D31FBB" w:rsidRPr="00A92CED" w:rsidRDefault="00D31FBB" w:rsidP="002B1331">
            <w:pPr>
              <w:pStyle w:val="ListParagraph"/>
              <w:numPr>
                <w:ilvl w:val="0"/>
                <w:numId w:val="27"/>
              </w:numPr>
              <w:ind w:left="714" w:hanging="357"/>
              <w:contextualSpacing w:val="0"/>
              <w:rPr>
                <w:rFonts w:cstheme="minorHAnsi"/>
                <w:lang w:val="fr-CA"/>
              </w:rPr>
            </w:pPr>
            <w:r w:rsidRPr="00A92CED">
              <w:rPr>
                <w:rFonts w:cstheme="minorHAnsi"/>
                <w:lang w:val="fr-CA"/>
              </w:rPr>
              <w:t>L’emballage ou le contenant ne présente aucun signe de dommage, de contamination ou de réduction de sa robustesse.</w:t>
            </w:r>
          </w:p>
        </w:tc>
        <w:tc>
          <w:tcPr>
            <w:tcW w:w="3143" w:type="dxa"/>
            <w:gridSpan w:val="2"/>
          </w:tcPr>
          <w:p w14:paraId="7591FE32" w14:textId="6C439132" w:rsidR="00D31FBB" w:rsidRPr="00A92CED" w:rsidRDefault="00D31FBB" w:rsidP="002B1331">
            <w:pPr>
              <w:rPr>
                <w:rFonts w:cstheme="minorHAnsi"/>
                <w:lang w:val="fr-CA"/>
              </w:rPr>
            </w:pPr>
            <w:r w:rsidRPr="00A92CED">
              <w:rPr>
                <w:rFonts w:cstheme="minorHAnsi"/>
                <w:lang w:val="fr-CA"/>
              </w:rPr>
              <w:lastRenderedPageBreak/>
              <w:t>Les exigences relatives à la réutilisation des emballages d’explosifs étaient contenues auparavant dans la norme sur l’emballage de Transports Canada (CGSB-43.151) du Règlement sur le TMD.</w:t>
            </w:r>
          </w:p>
          <w:p w14:paraId="7CD1BDB2" w14:textId="77777777" w:rsidR="00D31FBB" w:rsidRPr="00A92CED" w:rsidRDefault="00D31FBB" w:rsidP="002B1331">
            <w:pPr>
              <w:rPr>
                <w:rFonts w:cstheme="minorHAnsi"/>
                <w:lang w:val="fr-CA"/>
              </w:rPr>
            </w:pPr>
          </w:p>
          <w:p w14:paraId="55D0121B" w14:textId="35FE8D0C" w:rsidR="00D31FBB" w:rsidRPr="00A92CED" w:rsidRDefault="00D31FBB" w:rsidP="002B1331">
            <w:pPr>
              <w:rPr>
                <w:rFonts w:cstheme="minorHAnsi"/>
                <w:lang w:val="fr-CA"/>
              </w:rPr>
            </w:pPr>
            <w:r w:rsidRPr="00A92CED">
              <w:rPr>
                <w:rFonts w:cstheme="minorHAnsi"/>
                <w:lang w:val="fr-CA"/>
              </w:rPr>
              <w:t xml:space="preserve">À la suite de discussions entre Transports Canada et RNCan, il a </w:t>
            </w:r>
            <w:r w:rsidRPr="00A92CED">
              <w:rPr>
                <w:rFonts w:cstheme="minorHAnsi"/>
                <w:lang w:val="fr-CA"/>
              </w:rPr>
              <w:lastRenderedPageBreak/>
              <w:t xml:space="preserve">été convenu de faire de la réglementation des exigences relatives à la réutilisation des emballages d’explosifs la responsabilité de RNCan plutôt que de  TC. Le pouvoir de réglementer cette question est conféré en vertu de l’alinéa 5 </w:t>
            </w:r>
            <w:r w:rsidRPr="00A92CED">
              <w:rPr>
                <w:rFonts w:cstheme="minorHAnsi"/>
                <w:i/>
                <w:iCs/>
                <w:lang w:val="fr-CA"/>
              </w:rPr>
              <w:t>c</w:t>
            </w:r>
            <w:r w:rsidRPr="00A92CED">
              <w:rPr>
                <w:rFonts w:cstheme="minorHAnsi"/>
                <w:lang w:val="fr-CA"/>
              </w:rPr>
              <w:t xml:space="preserve">) de la </w:t>
            </w:r>
            <w:r w:rsidRPr="00A92CED">
              <w:rPr>
                <w:rFonts w:cstheme="minorHAnsi"/>
                <w:i/>
                <w:iCs/>
                <w:lang w:val="fr-CA"/>
              </w:rPr>
              <w:t>Loi sur les explosifs</w:t>
            </w:r>
            <w:r w:rsidRPr="00A92CED">
              <w:rPr>
                <w:rFonts w:cstheme="minorHAnsi"/>
                <w:lang w:val="fr-CA"/>
              </w:rPr>
              <w:t>.</w:t>
            </w:r>
          </w:p>
          <w:p w14:paraId="0C781226" w14:textId="77777777" w:rsidR="00D31FBB" w:rsidRPr="00A92CED" w:rsidRDefault="00D31FBB" w:rsidP="002B1331">
            <w:pPr>
              <w:rPr>
                <w:lang w:val="fr-CA"/>
              </w:rPr>
            </w:pPr>
          </w:p>
        </w:tc>
        <w:tc>
          <w:tcPr>
            <w:tcW w:w="3087" w:type="dxa"/>
          </w:tcPr>
          <w:p w14:paraId="755CE9CF" w14:textId="77777777" w:rsidR="00D31FBB" w:rsidRPr="00A92CED" w:rsidRDefault="00D31FBB" w:rsidP="00B11A38">
            <w:pPr>
              <w:rPr>
                <w:lang w:val="fr-CA"/>
              </w:rPr>
            </w:pPr>
          </w:p>
        </w:tc>
      </w:tr>
      <w:tr w:rsidR="00A92CED" w:rsidRPr="00A92CED" w14:paraId="25BABA78" w14:textId="77777777" w:rsidTr="00E10233">
        <w:tc>
          <w:tcPr>
            <w:tcW w:w="3126" w:type="dxa"/>
          </w:tcPr>
          <w:p w14:paraId="3554F9D5" w14:textId="77777777" w:rsidR="00D31FBB" w:rsidRPr="00A92CED" w:rsidRDefault="00D31FBB" w:rsidP="00B11A38">
            <w:pPr>
              <w:pStyle w:val="ListParagraph"/>
              <w:numPr>
                <w:ilvl w:val="0"/>
                <w:numId w:val="1"/>
              </w:numPr>
              <w:jc w:val="center"/>
              <w:rPr>
                <w:lang w:val="fr-CA"/>
              </w:rPr>
            </w:pPr>
          </w:p>
        </w:tc>
        <w:tc>
          <w:tcPr>
            <w:tcW w:w="3715" w:type="dxa"/>
          </w:tcPr>
          <w:p w14:paraId="1801399F" w14:textId="52358850" w:rsidR="00D31FBB" w:rsidRPr="00A92CED" w:rsidRDefault="00D31FBB" w:rsidP="002B1331">
            <w:pPr>
              <w:autoSpaceDE w:val="0"/>
              <w:autoSpaceDN w:val="0"/>
              <w:adjustRightInd w:val="0"/>
              <w:rPr>
                <w:rFonts w:ascii="Calibri" w:hAnsi="Calibri" w:cs="Calibri"/>
                <w:b/>
                <w:bCs/>
                <w:lang w:val="fr-CA"/>
              </w:rPr>
            </w:pPr>
            <w:r w:rsidRPr="00A92CED">
              <w:rPr>
                <w:rFonts w:ascii="Calibri" w:hAnsi="Calibri" w:cs="Calibri"/>
                <w:b/>
                <w:bCs/>
                <w:lang w:val="fr-CA"/>
              </w:rPr>
              <w:t>NOUVEAU</w:t>
            </w:r>
          </w:p>
        </w:tc>
        <w:tc>
          <w:tcPr>
            <w:tcW w:w="4076" w:type="dxa"/>
          </w:tcPr>
          <w:p w14:paraId="23F7407C" w14:textId="16181DD1" w:rsidR="00D31FBB" w:rsidRPr="00A92CED" w:rsidRDefault="00D31FBB" w:rsidP="002B1331">
            <w:pPr>
              <w:rPr>
                <w:rFonts w:cstheme="minorHAnsi"/>
                <w:lang w:val="fr-CA"/>
              </w:rPr>
            </w:pPr>
            <w:r w:rsidRPr="00A92CED">
              <w:rPr>
                <w:lang w:val="fr-CA"/>
              </w:rPr>
              <w:t xml:space="preserve">Ajouter à la Section 1 de la Partie 14 une exigence selon laquelle un utilisateur doit s’assurer que tout emballage ou contenant qui a été utilisé pour des explosifs de type C.1 n’est pas réutilisé à moins que </w:t>
            </w:r>
            <w:r w:rsidRPr="00A92CED">
              <w:rPr>
                <w:rFonts w:cstheme="minorHAnsi"/>
                <w:lang w:val="fr-CA"/>
              </w:rPr>
              <w:t xml:space="preserve">: </w:t>
            </w:r>
          </w:p>
          <w:p w14:paraId="5F71999B"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La classification aux fins du transport des explosifs de type </w:t>
            </w:r>
            <w:r w:rsidRPr="00A92CED">
              <w:rPr>
                <w:lang w:val="fr-CA"/>
              </w:rPr>
              <w:t xml:space="preserve">C.1 </w:t>
            </w:r>
            <w:r w:rsidRPr="00A92CED">
              <w:rPr>
                <w:rFonts w:cstheme="minorHAnsi"/>
                <w:lang w:val="fr-CA"/>
              </w:rPr>
              <w:t>reste inchangée;</w:t>
            </w:r>
          </w:p>
          <w:p w14:paraId="241EB0DE"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Les explosifs de type </w:t>
            </w:r>
            <w:r w:rsidRPr="00A92CED">
              <w:rPr>
                <w:lang w:val="fr-CA"/>
              </w:rPr>
              <w:t>C.1</w:t>
            </w:r>
            <w:r w:rsidRPr="00A92CED">
              <w:rPr>
                <w:rFonts w:cstheme="minorHAnsi"/>
                <w:lang w:val="fr-CA"/>
              </w:rPr>
              <w:t xml:space="preserve"> sont disposés dans l’emballage ou le contenant de manière à réduire au minimum leur mouvement pendant le transport;</w:t>
            </w:r>
          </w:p>
          <w:p w14:paraId="4873FB28"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L’emballage ou le contenant est fermé pour le transport de la même manière que lors de sa première utilisation;</w:t>
            </w:r>
          </w:p>
          <w:p w14:paraId="24770473"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lastRenderedPageBreak/>
              <w:t>La masse des explosifs de type </w:t>
            </w:r>
            <w:r w:rsidRPr="00A92CED">
              <w:rPr>
                <w:lang w:val="fr-CA"/>
              </w:rPr>
              <w:t>C.1</w:t>
            </w:r>
            <w:r w:rsidRPr="00A92CED">
              <w:rPr>
                <w:rFonts w:cstheme="minorHAnsi"/>
                <w:lang w:val="fr-CA"/>
              </w:rPr>
              <w:t xml:space="preserve"> est égale ou inférieure à la masse des explosifs lors de la première utilisation de l’emballage ou du contenant;</w:t>
            </w:r>
          </w:p>
          <w:p w14:paraId="020C490E" w14:textId="04F27E3B" w:rsidR="00D31FBB" w:rsidRPr="00A92CED" w:rsidRDefault="00D31FBB" w:rsidP="002B1331">
            <w:pPr>
              <w:pStyle w:val="ListParagraph"/>
              <w:numPr>
                <w:ilvl w:val="0"/>
                <w:numId w:val="27"/>
              </w:numPr>
              <w:ind w:left="714" w:hanging="357"/>
              <w:contextualSpacing w:val="0"/>
              <w:rPr>
                <w:rFonts w:cstheme="minorHAnsi"/>
                <w:lang w:val="fr-CA"/>
              </w:rPr>
            </w:pPr>
            <w:r w:rsidRPr="00A92CED">
              <w:rPr>
                <w:rFonts w:cstheme="minorHAnsi"/>
                <w:lang w:val="fr-CA"/>
              </w:rPr>
              <w:t>L’emballage ou le contenant ne présente aucun signe de dommage, de contamination ou de réduction de sa robustesse.</w:t>
            </w:r>
          </w:p>
        </w:tc>
        <w:tc>
          <w:tcPr>
            <w:tcW w:w="3143" w:type="dxa"/>
            <w:gridSpan w:val="2"/>
          </w:tcPr>
          <w:p w14:paraId="6C1098D5" w14:textId="24D36B0E" w:rsidR="00D31FBB" w:rsidRPr="00A92CED" w:rsidRDefault="00D31FBB" w:rsidP="002B1331">
            <w:pPr>
              <w:rPr>
                <w:rFonts w:cstheme="minorHAnsi"/>
                <w:lang w:val="fr-CA"/>
              </w:rPr>
            </w:pPr>
            <w:r w:rsidRPr="00A92CED">
              <w:rPr>
                <w:rFonts w:cstheme="minorHAnsi"/>
                <w:lang w:val="fr-CA"/>
              </w:rPr>
              <w:lastRenderedPageBreak/>
              <w:t>Les exigences relatives à la réutilisation des emballages d’explosifs étaient contenues auparavant dans la norme sur l’emballage de Transports Canada (CGSB-43.151) du Règlement sur le TMD.</w:t>
            </w:r>
          </w:p>
          <w:p w14:paraId="53C41CE9" w14:textId="77777777" w:rsidR="00D31FBB" w:rsidRPr="00A92CED" w:rsidRDefault="00D31FBB" w:rsidP="002B1331">
            <w:pPr>
              <w:rPr>
                <w:rFonts w:cstheme="minorHAnsi"/>
                <w:lang w:val="fr-CA"/>
              </w:rPr>
            </w:pPr>
          </w:p>
          <w:p w14:paraId="2E015F55" w14:textId="6E26F79B" w:rsidR="00D31FBB" w:rsidRPr="00A92CED" w:rsidRDefault="00D31FBB" w:rsidP="002B1331">
            <w:pPr>
              <w:rPr>
                <w:rFonts w:cstheme="minorHAnsi"/>
                <w:lang w:val="fr-CA"/>
              </w:rPr>
            </w:pPr>
            <w:r w:rsidRPr="00A92CED">
              <w:rPr>
                <w:rFonts w:cstheme="minorHAnsi"/>
                <w:lang w:val="fr-CA"/>
              </w:rPr>
              <w:t xml:space="preserve">À la suite de discussions entre Transports Canada et RNCan, il a été convenu de faire de la réglementation des exigences relatives à la réutilisation des emballages d’explosifs la responsabilité de RNCan plutôt que de  TC. Le pouvoir de réglementer cette question est </w:t>
            </w:r>
            <w:r w:rsidRPr="00A92CED">
              <w:rPr>
                <w:rFonts w:cstheme="minorHAnsi"/>
                <w:lang w:val="fr-CA"/>
              </w:rPr>
              <w:lastRenderedPageBreak/>
              <w:t xml:space="preserve">conféré en vertu de l’alinéa 5 </w:t>
            </w:r>
            <w:r w:rsidRPr="00A92CED">
              <w:rPr>
                <w:rFonts w:cstheme="minorHAnsi"/>
                <w:i/>
                <w:iCs/>
                <w:lang w:val="fr-CA"/>
              </w:rPr>
              <w:t>c</w:t>
            </w:r>
            <w:r w:rsidRPr="00A92CED">
              <w:rPr>
                <w:rFonts w:cstheme="minorHAnsi"/>
                <w:lang w:val="fr-CA"/>
              </w:rPr>
              <w:t xml:space="preserve">) de la </w:t>
            </w:r>
            <w:r w:rsidRPr="00A92CED">
              <w:rPr>
                <w:rFonts w:cstheme="minorHAnsi"/>
                <w:i/>
                <w:iCs/>
                <w:lang w:val="fr-CA"/>
              </w:rPr>
              <w:t>Loi sur les explosifs</w:t>
            </w:r>
            <w:r w:rsidRPr="00A92CED">
              <w:rPr>
                <w:rFonts w:cstheme="minorHAnsi"/>
                <w:lang w:val="fr-CA"/>
              </w:rPr>
              <w:t>.</w:t>
            </w:r>
          </w:p>
          <w:p w14:paraId="2C5B4BB8" w14:textId="77777777" w:rsidR="00D31FBB" w:rsidRPr="00A92CED" w:rsidRDefault="00D31FBB" w:rsidP="002B1331">
            <w:pPr>
              <w:rPr>
                <w:lang w:val="fr-CA"/>
              </w:rPr>
            </w:pPr>
          </w:p>
        </w:tc>
        <w:tc>
          <w:tcPr>
            <w:tcW w:w="3087" w:type="dxa"/>
          </w:tcPr>
          <w:p w14:paraId="45749D13" w14:textId="77777777" w:rsidR="00D31FBB" w:rsidRPr="00A92CED" w:rsidRDefault="00D31FBB" w:rsidP="00B11A38">
            <w:pPr>
              <w:rPr>
                <w:lang w:val="fr-CA"/>
              </w:rPr>
            </w:pPr>
          </w:p>
        </w:tc>
      </w:tr>
      <w:tr w:rsidR="00A92CED" w:rsidRPr="00A92CED" w14:paraId="2EFD11B4" w14:textId="384D6ED2" w:rsidTr="00F47EB0">
        <w:tc>
          <w:tcPr>
            <w:tcW w:w="17147" w:type="dxa"/>
            <w:gridSpan w:val="6"/>
            <w:shd w:val="clear" w:color="auto" w:fill="F2F2F2" w:themeFill="background1" w:themeFillShade="F2"/>
          </w:tcPr>
          <w:p w14:paraId="0DA13B78" w14:textId="4D70110D" w:rsidR="00D31FBB" w:rsidRPr="00A92CED" w:rsidRDefault="00D31FBB" w:rsidP="00D15EFA">
            <w:pPr>
              <w:spacing w:before="60" w:after="60"/>
              <w:jc w:val="center"/>
              <w:rPr>
                <w:rFonts w:ascii="Arial" w:hAnsi="Arial" w:cs="Arial"/>
                <w:sz w:val="24"/>
                <w:szCs w:val="24"/>
                <w:lang w:val="fr-CA"/>
              </w:rPr>
            </w:pPr>
            <w:bookmarkStart w:id="0" w:name="_Hlk115687994"/>
            <w:r w:rsidRPr="00A92CED">
              <w:rPr>
                <w:rFonts w:ascii="Arial" w:hAnsi="Arial" w:cs="Arial"/>
                <w:sz w:val="24"/>
                <w:szCs w:val="24"/>
                <w:lang w:val="fr-CA"/>
              </w:rPr>
              <w:t>Section 2 : Poudre propulsive et amorces à percussion et fabrication de cartouches pour armes de petit calibre et de cartouches à poudre noire</w:t>
            </w:r>
          </w:p>
        </w:tc>
      </w:tr>
      <w:tr w:rsidR="00A92CED" w:rsidRPr="00A92CED" w14:paraId="1ED9967A" w14:textId="7D732183" w:rsidTr="00E10233">
        <w:tc>
          <w:tcPr>
            <w:tcW w:w="3126" w:type="dxa"/>
          </w:tcPr>
          <w:p w14:paraId="133BCB06" w14:textId="77777777" w:rsidR="00D31FBB" w:rsidRPr="00A92CED" w:rsidRDefault="00D31FBB" w:rsidP="00D15EFA">
            <w:pPr>
              <w:pStyle w:val="ListParagraph"/>
              <w:numPr>
                <w:ilvl w:val="0"/>
                <w:numId w:val="1"/>
              </w:numPr>
              <w:jc w:val="center"/>
              <w:rPr>
                <w:lang w:val="fr-CA"/>
              </w:rPr>
            </w:pPr>
          </w:p>
        </w:tc>
        <w:tc>
          <w:tcPr>
            <w:tcW w:w="3715" w:type="dxa"/>
          </w:tcPr>
          <w:p w14:paraId="77E85881" w14:textId="2A54D308" w:rsidR="00D31FBB" w:rsidRPr="00A92CED" w:rsidRDefault="00D31FBB" w:rsidP="00D15EFA">
            <w:pPr>
              <w:rPr>
                <w:rFonts w:ascii="Calibri" w:hAnsi="Calibri" w:cs="Calibri"/>
                <w:b/>
                <w:lang w:val="fr-CA"/>
              </w:rPr>
            </w:pPr>
            <w:r w:rsidRPr="00A92CED">
              <w:rPr>
                <w:rFonts w:ascii="Calibri" w:hAnsi="Calibri" w:cs="Calibri"/>
                <w:b/>
                <w:lang w:val="fr-CA"/>
              </w:rPr>
              <w:t xml:space="preserve">283 </w:t>
            </w:r>
            <w:r w:rsidRPr="00A92CED">
              <w:rPr>
                <w:rFonts w:ascii="Calibri" w:hAnsi="Calibri" w:cs="Calibri"/>
                <w:lang w:val="fr-CA"/>
              </w:rPr>
              <w:t>(2)</w:t>
            </w:r>
            <w:r w:rsidRPr="00A92CED">
              <w:rPr>
                <w:rFonts w:ascii="Calibri" w:hAnsi="Calibri" w:cs="Calibri"/>
                <w:b/>
                <w:bCs/>
                <w:lang w:val="fr-CA"/>
              </w:rPr>
              <w:t xml:space="preserve"> </w:t>
            </w:r>
            <w:r w:rsidRPr="00A92CED">
              <w:rPr>
                <w:rFonts w:ascii="Calibri" w:hAnsi="Calibri" w:cs="Calibri"/>
                <w:lang w:val="fr-CA"/>
              </w:rPr>
              <w:t>Le détaillant peut acquérir, stocker et vendre de la poudre propulsive et des amorces à percussion, avec ou sans licence. Le détaillant qui acquiert cette poudre ou ces amorces se conforme à la présente section.</w:t>
            </w:r>
          </w:p>
        </w:tc>
        <w:tc>
          <w:tcPr>
            <w:tcW w:w="4076" w:type="dxa"/>
          </w:tcPr>
          <w:p w14:paraId="279836F7" w14:textId="3BC750E5" w:rsidR="00D31FBB" w:rsidRPr="00A92CED" w:rsidRDefault="00D31FBB" w:rsidP="00D15EFA">
            <w:pPr>
              <w:rPr>
                <w:lang w:val="fr-CA"/>
              </w:rPr>
            </w:pPr>
            <w:r w:rsidRPr="00A92CED">
              <w:rPr>
                <w:bCs/>
                <w:lang w:val="fr-CA"/>
              </w:rPr>
              <w:t>Modifier la première phrase du paragraphe 283(2) pour préciser qu’un détaillant peut acquérir, stocker et vendre de la poudre propulsive, avec une licence, et qu’il peut acquérir, stocker et vendre des amorces à percussion, avec un sans licence.</w:t>
            </w:r>
          </w:p>
        </w:tc>
        <w:tc>
          <w:tcPr>
            <w:tcW w:w="3143" w:type="dxa"/>
            <w:gridSpan w:val="2"/>
          </w:tcPr>
          <w:p w14:paraId="15815D00" w14:textId="08432750" w:rsidR="00D31FBB" w:rsidRPr="00A92CED" w:rsidRDefault="00D31FBB" w:rsidP="00D15EFA">
            <w:pPr>
              <w:rPr>
                <w:lang w:val="fr-CA"/>
              </w:rPr>
            </w:pPr>
            <w:r w:rsidRPr="00A92CED">
              <w:rPr>
                <w:rFonts w:cstheme="minorHAnsi"/>
                <w:lang w:val="fr-CA"/>
              </w:rPr>
              <w:t xml:space="preserve">Cet amendement proposé vise à renforcer la sécurité et la sûreté en abordant les risques posés par la poudre propulsive. Cet amendement proposé </w:t>
            </w:r>
            <w:r w:rsidRPr="00A92CED">
              <w:rPr>
                <w:rFonts w:cstheme="minorHAnsi"/>
                <w:lang w:val="fr-CA"/>
              </w:rPr>
              <w:t>ajouter</w:t>
            </w:r>
            <w:r w:rsidRPr="00A92CED">
              <w:rPr>
                <w:rFonts w:cstheme="minorHAnsi"/>
                <w:lang w:val="fr-CA"/>
              </w:rPr>
              <w:t>ait</w:t>
            </w:r>
            <w:r w:rsidRPr="00A92CED">
              <w:rPr>
                <w:rFonts w:cstheme="minorHAnsi"/>
                <w:lang w:val="fr-CA"/>
              </w:rPr>
              <w:t xml:space="preserve"> une nouvelle exigence pour tous les détaillants</w:t>
            </w:r>
            <w:r w:rsidRPr="00A92CED">
              <w:rPr>
                <w:rFonts w:cstheme="minorHAnsi"/>
                <w:lang w:val="fr-CA"/>
              </w:rPr>
              <w:t xml:space="preserve"> d’avoir une licence pour acquérir, stocker et vendre de la poudre propulsive.</w:t>
            </w:r>
          </w:p>
        </w:tc>
        <w:tc>
          <w:tcPr>
            <w:tcW w:w="3087" w:type="dxa"/>
          </w:tcPr>
          <w:p w14:paraId="44D9A443" w14:textId="77777777" w:rsidR="00D31FBB" w:rsidRPr="00A92CED" w:rsidRDefault="00D31FBB" w:rsidP="00D15EFA">
            <w:pPr>
              <w:rPr>
                <w:lang w:val="fr-CA"/>
              </w:rPr>
            </w:pPr>
          </w:p>
        </w:tc>
      </w:tr>
      <w:tr w:rsidR="00A92CED" w:rsidRPr="00A92CED" w14:paraId="5BA67A7C" w14:textId="6C7F79FA" w:rsidTr="00E10233">
        <w:tc>
          <w:tcPr>
            <w:tcW w:w="3126" w:type="dxa"/>
          </w:tcPr>
          <w:p w14:paraId="1C6E991E" w14:textId="77777777" w:rsidR="00D31FBB" w:rsidRPr="00A92CED" w:rsidRDefault="00D31FBB" w:rsidP="00D15EFA">
            <w:pPr>
              <w:pStyle w:val="ListParagraph"/>
              <w:numPr>
                <w:ilvl w:val="0"/>
                <w:numId w:val="1"/>
              </w:numPr>
              <w:jc w:val="center"/>
              <w:rPr>
                <w:lang w:val="fr-CA"/>
              </w:rPr>
            </w:pPr>
          </w:p>
        </w:tc>
        <w:tc>
          <w:tcPr>
            <w:tcW w:w="3715" w:type="dxa"/>
          </w:tcPr>
          <w:p w14:paraId="59F4E2B9" w14:textId="6A31AC03" w:rsidR="00D31FBB" w:rsidRPr="00A92CED" w:rsidRDefault="00D31FBB" w:rsidP="00D15EFA">
            <w:pPr>
              <w:rPr>
                <w:b/>
                <w:lang w:val="fr-CA"/>
              </w:rPr>
            </w:pPr>
            <w:r w:rsidRPr="00A92CED">
              <w:rPr>
                <w:b/>
                <w:lang w:val="fr-CA"/>
              </w:rPr>
              <w:t>NOUVEAU</w:t>
            </w:r>
          </w:p>
        </w:tc>
        <w:tc>
          <w:tcPr>
            <w:tcW w:w="4076" w:type="dxa"/>
          </w:tcPr>
          <w:p w14:paraId="2F8D06F3" w14:textId="15654DBF" w:rsidR="00D31FBB" w:rsidRPr="00A92CED" w:rsidRDefault="00D31FBB" w:rsidP="00D15EFA">
            <w:pPr>
              <w:rPr>
                <w:bCs/>
                <w:lang w:val="fr-CA"/>
              </w:rPr>
            </w:pPr>
            <w:r w:rsidRPr="00A92CED">
              <w:rPr>
                <w:bCs/>
                <w:lang w:val="fr-CA"/>
              </w:rPr>
              <w:t>Modifier la section 2 de la partie 14 pour ajouter les nouvelles exigences ci-après :</w:t>
            </w:r>
          </w:p>
          <w:p w14:paraId="50505D96" w14:textId="1347D420" w:rsidR="00D31FBB" w:rsidRPr="00A92CED" w:rsidRDefault="00D31FBB" w:rsidP="00D15EFA">
            <w:pPr>
              <w:pStyle w:val="ListParagraph"/>
              <w:numPr>
                <w:ilvl w:val="0"/>
                <w:numId w:val="27"/>
              </w:numPr>
              <w:rPr>
                <w:rFonts w:cstheme="minorHAnsi"/>
                <w:lang w:val="fr-CA"/>
              </w:rPr>
            </w:pPr>
            <w:r w:rsidRPr="00A92CED">
              <w:rPr>
                <w:bCs/>
                <w:lang w:val="fr-CA"/>
              </w:rPr>
              <w:t>Avant la vente de poudre propulsive à un détaillant, le distributeur exige du détaillant que celui-ci prouve son identité en présentant une licence ou un certificat de fabrication valide qui autorise le détaillant à acheter de la poudre propulsive;</w:t>
            </w:r>
          </w:p>
          <w:p w14:paraId="36231E02" w14:textId="7FAAE146" w:rsidR="00D31FBB" w:rsidRPr="00A92CED" w:rsidRDefault="00D31FBB" w:rsidP="00D15EFA">
            <w:pPr>
              <w:pStyle w:val="ListParagraph"/>
              <w:numPr>
                <w:ilvl w:val="0"/>
                <w:numId w:val="27"/>
              </w:numPr>
              <w:rPr>
                <w:rFonts w:cstheme="minorHAnsi"/>
                <w:lang w:val="fr-CA"/>
              </w:rPr>
            </w:pPr>
            <w:r w:rsidRPr="00A92CED">
              <w:rPr>
                <w:rFonts w:cstheme="minorHAnsi"/>
                <w:lang w:val="fr-CA"/>
              </w:rPr>
              <w:t xml:space="preserve">Le distributeur crée un dossier de chaque vente de poudre propulsive à un détaillant et le </w:t>
            </w:r>
            <w:r w:rsidRPr="00A92CED">
              <w:rPr>
                <w:rFonts w:cstheme="minorHAnsi"/>
                <w:lang w:val="fr-CA"/>
              </w:rPr>
              <w:lastRenderedPageBreak/>
              <w:t>conserve pendant deux ans après la date de la vente. Le dossier contient les renseignements suivants :</w:t>
            </w:r>
          </w:p>
          <w:p w14:paraId="7C42F662" w14:textId="65637081" w:rsidR="00D31FBB" w:rsidRPr="00A92CED" w:rsidRDefault="00D31FBB" w:rsidP="00D15EFA">
            <w:pPr>
              <w:pStyle w:val="ListParagraph"/>
              <w:numPr>
                <w:ilvl w:val="1"/>
                <w:numId w:val="26"/>
              </w:numPr>
              <w:rPr>
                <w:rFonts w:cstheme="minorHAnsi"/>
                <w:lang w:val="fr-CA"/>
              </w:rPr>
            </w:pPr>
            <w:r w:rsidRPr="00A92CED">
              <w:rPr>
                <w:rFonts w:cstheme="minorHAnsi"/>
                <w:lang w:val="fr-CA"/>
              </w:rPr>
              <w:t>le numéro et la date d’expiration de la licence ou du certificat valide de l’acheteur;</w:t>
            </w:r>
          </w:p>
          <w:p w14:paraId="2FF30EA1" w14:textId="4602F6E2" w:rsidR="00D31FBB" w:rsidRPr="00A92CED" w:rsidRDefault="00D31FBB" w:rsidP="00D15EFA">
            <w:pPr>
              <w:pStyle w:val="ListParagraph"/>
              <w:numPr>
                <w:ilvl w:val="1"/>
                <w:numId w:val="26"/>
              </w:numPr>
              <w:rPr>
                <w:rFonts w:cstheme="minorHAnsi"/>
                <w:lang w:val="fr-CA"/>
              </w:rPr>
            </w:pPr>
            <w:r w:rsidRPr="00A92CED">
              <w:rPr>
                <w:rFonts w:cstheme="minorHAnsi"/>
                <w:lang w:val="fr-CA"/>
              </w:rPr>
              <w:t>le type et le nom de produit de la poudre propulsive vendue au détaillant;</w:t>
            </w:r>
          </w:p>
          <w:p w14:paraId="6BD744EE" w14:textId="2A9BBAF6" w:rsidR="00D31FBB" w:rsidRPr="00A92CED" w:rsidRDefault="00D31FBB" w:rsidP="00D15EFA">
            <w:pPr>
              <w:pStyle w:val="ListParagraph"/>
              <w:numPr>
                <w:ilvl w:val="1"/>
                <w:numId w:val="26"/>
              </w:numPr>
              <w:rPr>
                <w:rFonts w:cstheme="minorHAnsi"/>
                <w:lang w:val="fr-CA"/>
              </w:rPr>
            </w:pPr>
            <w:r w:rsidRPr="00A92CED">
              <w:rPr>
                <w:rFonts w:cstheme="minorHAnsi"/>
                <w:lang w:val="fr-CA"/>
              </w:rPr>
              <w:t>pour chaque nom de produit, la quantité de poudre propulsive vendue;</w:t>
            </w:r>
          </w:p>
          <w:p w14:paraId="22AAB058" w14:textId="260D3F5D" w:rsidR="00D31FBB" w:rsidRPr="00A92CED" w:rsidRDefault="00D31FBB" w:rsidP="00D15EFA">
            <w:pPr>
              <w:pStyle w:val="ListParagraph"/>
              <w:numPr>
                <w:ilvl w:val="1"/>
                <w:numId w:val="26"/>
              </w:numPr>
              <w:rPr>
                <w:lang w:val="fr-CA"/>
              </w:rPr>
            </w:pPr>
            <w:r w:rsidRPr="00A92CED">
              <w:rPr>
                <w:rFonts w:cstheme="minorHAnsi"/>
                <w:lang w:val="fr-CA"/>
              </w:rPr>
              <w:t>la date de la vente.</w:t>
            </w:r>
          </w:p>
        </w:tc>
        <w:tc>
          <w:tcPr>
            <w:tcW w:w="3143" w:type="dxa"/>
            <w:gridSpan w:val="2"/>
          </w:tcPr>
          <w:p w14:paraId="093BF158" w14:textId="45A17B9C" w:rsidR="00D31FBB" w:rsidRPr="00A92CED" w:rsidRDefault="00D31FBB" w:rsidP="00D15EFA">
            <w:pPr>
              <w:rPr>
                <w:lang w:val="fr-CA"/>
              </w:rPr>
            </w:pPr>
            <w:r w:rsidRPr="00A92CED">
              <w:rPr>
                <w:rFonts w:cstheme="minorHAnsi"/>
                <w:lang w:val="fr-CA"/>
              </w:rPr>
              <w:lastRenderedPageBreak/>
              <w:t>Cet amendement proposé vise à renforcer la sécurité et la sûreté en abordant les risques posés par la poudre propulsive. Cet amendement proposé obligerait les distributeurs à vérifier que les détaillants ont une licence ou un certificat de fabrication valide et ajouterait des exigences en matière de tenue de dossiers pour les ventes de poudre propulsive par les distributeurs aux détaillants.</w:t>
            </w:r>
          </w:p>
        </w:tc>
        <w:tc>
          <w:tcPr>
            <w:tcW w:w="3087" w:type="dxa"/>
          </w:tcPr>
          <w:p w14:paraId="71774B47" w14:textId="77777777" w:rsidR="00D31FBB" w:rsidRPr="00A92CED" w:rsidRDefault="00D31FBB" w:rsidP="00D15EFA">
            <w:pPr>
              <w:rPr>
                <w:lang w:val="fr-CA"/>
              </w:rPr>
            </w:pPr>
          </w:p>
        </w:tc>
      </w:tr>
      <w:tr w:rsidR="00A92CED" w:rsidRPr="00A92CED" w14:paraId="4D65353B" w14:textId="088FCC85" w:rsidTr="00E10233">
        <w:tc>
          <w:tcPr>
            <w:tcW w:w="3126" w:type="dxa"/>
          </w:tcPr>
          <w:p w14:paraId="3BF1DD9B" w14:textId="77777777" w:rsidR="00D31FBB" w:rsidRPr="00A92CED" w:rsidRDefault="00D31FBB" w:rsidP="00D15EFA">
            <w:pPr>
              <w:pStyle w:val="ListParagraph"/>
              <w:numPr>
                <w:ilvl w:val="0"/>
                <w:numId w:val="1"/>
              </w:numPr>
              <w:jc w:val="center"/>
              <w:rPr>
                <w:lang w:val="fr-CA"/>
              </w:rPr>
            </w:pPr>
          </w:p>
        </w:tc>
        <w:tc>
          <w:tcPr>
            <w:tcW w:w="3715" w:type="dxa"/>
          </w:tcPr>
          <w:p w14:paraId="48CF5A26" w14:textId="1F6CB1FC" w:rsidR="00D31FBB" w:rsidRPr="00A92CED" w:rsidRDefault="00D31FBB" w:rsidP="00D15EFA">
            <w:pPr>
              <w:rPr>
                <w:rFonts w:ascii="Calibri" w:hAnsi="Calibri" w:cs="Calibri"/>
                <w:b/>
                <w:lang w:val="fr-CA"/>
              </w:rPr>
            </w:pPr>
            <w:r w:rsidRPr="00A92CED">
              <w:rPr>
                <w:rFonts w:ascii="Calibri" w:hAnsi="Calibri" w:cs="Calibri"/>
                <w:b/>
                <w:bCs/>
                <w:lang w:val="fr-CA"/>
              </w:rPr>
              <w:t xml:space="preserve">285 </w:t>
            </w:r>
            <w:r w:rsidRPr="00A92CED">
              <w:rPr>
                <w:rFonts w:ascii="Calibri" w:hAnsi="Calibri" w:cs="Calibri"/>
                <w:lang w:val="fr-CA"/>
              </w:rPr>
              <w:t>Le détaillant qui n’est pas titulaire d’une licence stocke sa poudre propulsive et ses amorces à percussion dans un établissement de vente et veille à ce que les exigences prévues aux articles 286 à 288 soient respectées.</w:t>
            </w:r>
          </w:p>
        </w:tc>
        <w:tc>
          <w:tcPr>
            <w:tcW w:w="4076" w:type="dxa"/>
          </w:tcPr>
          <w:p w14:paraId="55C251A6" w14:textId="777504CB" w:rsidR="00D31FBB" w:rsidRPr="00A92CED" w:rsidRDefault="00D31FBB" w:rsidP="00D15EFA">
            <w:pPr>
              <w:rPr>
                <w:lang w:val="fr-CA"/>
              </w:rPr>
            </w:pPr>
            <w:r w:rsidRPr="00A92CED">
              <w:rPr>
                <w:bCs/>
                <w:lang w:val="fr-CA"/>
              </w:rPr>
              <w:t xml:space="preserve">Modifier l’article 285 pour supprimer </w:t>
            </w:r>
            <w:r w:rsidRPr="00A92CED">
              <w:rPr>
                <w:rFonts w:cstheme="minorHAnsi"/>
                <w:bCs/>
                <w:lang w:val="fr-CA"/>
              </w:rPr>
              <w:t>« sa poudre propulsive et </w:t>
            </w:r>
            <w:r w:rsidRPr="00A92CED">
              <w:rPr>
                <w:rFonts w:ascii="Calibri" w:hAnsi="Calibri" w:cs="Calibri"/>
                <w:bCs/>
                <w:lang w:val="fr-CA"/>
              </w:rPr>
              <w:t>».</w:t>
            </w:r>
          </w:p>
        </w:tc>
        <w:tc>
          <w:tcPr>
            <w:tcW w:w="3143" w:type="dxa"/>
            <w:gridSpan w:val="2"/>
          </w:tcPr>
          <w:p w14:paraId="1AC33216" w14:textId="33981B68" w:rsidR="00D31FBB" w:rsidRPr="00A92CED" w:rsidRDefault="00D31FBB" w:rsidP="00D15EFA">
            <w:pPr>
              <w:rPr>
                <w:lang w:val="fr-CA"/>
              </w:rPr>
            </w:pPr>
            <w:r w:rsidRPr="00A92CED">
              <w:rPr>
                <w:lang w:val="fr-CA"/>
              </w:rPr>
              <w:t>Cet amendement proposé vise à renforcer la sécurité et la sûreté en abordant les risques posés par la poudre propulsive. Cet amendement proposé appuierait l’amendement qu’il est proposé d’apporter au paragraphe </w:t>
            </w:r>
            <w:r w:rsidRPr="00A92CED">
              <w:rPr>
                <w:rFonts w:cstheme="minorHAnsi"/>
                <w:lang w:val="fr-CA"/>
              </w:rPr>
              <w:t xml:space="preserve">283(2), au point 112 du présent document de consultation, pour </w:t>
            </w:r>
            <w:r w:rsidR="00F448B6" w:rsidRPr="00A92CED">
              <w:rPr>
                <w:rFonts w:cstheme="minorHAnsi"/>
                <w:lang w:val="fr-CA"/>
              </w:rPr>
              <w:t>ajouter une nouvelle exigence pour tous les détaillants</w:t>
            </w:r>
            <w:r w:rsidR="00F448B6" w:rsidRPr="00A92CED">
              <w:rPr>
                <w:rFonts w:cstheme="minorHAnsi"/>
                <w:lang w:val="fr-CA"/>
              </w:rPr>
              <w:t xml:space="preserve"> d’</w:t>
            </w:r>
            <w:r w:rsidRPr="00A92CED">
              <w:rPr>
                <w:rFonts w:cstheme="minorHAnsi"/>
                <w:lang w:val="fr-CA"/>
              </w:rPr>
              <w:t>avoir une licence pour acquérir, stocker et vendre de la poudre propulsive.</w:t>
            </w:r>
          </w:p>
        </w:tc>
        <w:tc>
          <w:tcPr>
            <w:tcW w:w="3087" w:type="dxa"/>
          </w:tcPr>
          <w:p w14:paraId="0FA5C92F" w14:textId="77777777" w:rsidR="00D31FBB" w:rsidRPr="00A92CED" w:rsidRDefault="00D31FBB" w:rsidP="00D15EFA">
            <w:pPr>
              <w:rPr>
                <w:lang w:val="fr-CA"/>
              </w:rPr>
            </w:pPr>
          </w:p>
        </w:tc>
      </w:tr>
      <w:tr w:rsidR="00A92CED" w:rsidRPr="00A92CED" w14:paraId="5CBE8168" w14:textId="6623D2C2" w:rsidTr="00E10233">
        <w:tc>
          <w:tcPr>
            <w:tcW w:w="3126" w:type="dxa"/>
          </w:tcPr>
          <w:p w14:paraId="3EB7FDF6" w14:textId="77777777" w:rsidR="00D31FBB" w:rsidRPr="00A92CED" w:rsidRDefault="00D31FBB" w:rsidP="00D15EFA">
            <w:pPr>
              <w:pStyle w:val="ListParagraph"/>
              <w:numPr>
                <w:ilvl w:val="0"/>
                <w:numId w:val="1"/>
              </w:numPr>
              <w:jc w:val="center"/>
              <w:rPr>
                <w:lang w:val="fr-CA"/>
              </w:rPr>
            </w:pPr>
          </w:p>
        </w:tc>
        <w:tc>
          <w:tcPr>
            <w:tcW w:w="3715" w:type="dxa"/>
          </w:tcPr>
          <w:p w14:paraId="4D641133" w14:textId="14279356" w:rsidR="00D31FBB" w:rsidRPr="00A92CED" w:rsidRDefault="00D31FBB" w:rsidP="00D15EFA">
            <w:pPr>
              <w:rPr>
                <w:rFonts w:ascii="Calibri" w:hAnsi="Calibri" w:cs="Calibri"/>
                <w:lang w:val="fr-CA"/>
              </w:rPr>
            </w:pPr>
            <w:r w:rsidRPr="00A92CED">
              <w:rPr>
                <w:rFonts w:ascii="Calibri" w:hAnsi="Calibri" w:cs="Calibri"/>
                <w:b/>
                <w:lang w:val="fr-CA"/>
              </w:rPr>
              <w:t xml:space="preserve">287 </w:t>
            </w:r>
            <w:r w:rsidRPr="00A92CED">
              <w:rPr>
                <w:rFonts w:ascii="Calibri" w:hAnsi="Calibri" w:cs="Calibri"/>
                <w:lang w:val="fr-CA"/>
              </w:rPr>
              <w:t xml:space="preserve">(3) Au plus 25 kg de poudre propulsive, dont au plus 10 kg de poudre noire, peut être stockée à tout moment dans un local d’habitation </w:t>
            </w:r>
            <w:r w:rsidRPr="00A92CED">
              <w:rPr>
                <w:rFonts w:ascii="Calibri" w:hAnsi="Calibri" w:cs="Calibri"/>
                <w:lang w:val="fr-CA"/>
              </w:rPr>
              <w:lastRenderedPageBreak/>
              <w:t>individuel ou une *unité de stockage attenante à un tel local.</w:t>
            </w:r>
          </w:p>
          <w:p w14:paraId="50C376C8" w14:textId="77777777" w:rsidR="00D31FBB" w:rsidRPr="00A92CED" w:rsidRDefault="00D31FBB" w:rsidP="00D15EFA">
            <w:pPr>
              <w:rPr>
                <w:rFonts w:ascii="Calibri" w:hAnsi="Calibri" w:cs="Calibri"/>
                <w:lang w:val="fr-CA"/>
              </w:rPr>
            </w:pPr>
          </w:p>
          <w:p w14:paraId="78048934" w14:textId="33F180FB" w:rsidR="00D31FBB" w:rsidRPr="00A92CED" w:rsidRDefault="00D31FBB" w:rsidP="00D15EFA">
            <w:pPr>
              <w:rPr>
                <w:rFonts w:ascii="Calibri" w:hAnsi="Calibri" w:cs="Calibri"/>
                <w:lang w:val="fr-CA"/>
              </w:rPr>
            </w:pPr>
            <w:r w:rsidRPr="00A92CED">
              <w:rPr>
                <w:rFonts w:ascii="Calibri" w:hAnsi="Calibri" w:cs="Calibri"/>
                <w:lang w:val="fr-CA"/>
              </w:rPr>
              <w:t>(4)</w:t>
            </w:r>
            <w:r w:rsidRPr="00A92CED">
              <w:rPr>
                <w:rFonts w:ascii="Calibri" w:hAnsi="Calibri" w:cs="Calibri"/>
                <w:b/>
                <w:bCs/>
                <w:lang w:val="fr-CA"/>
              </w:rPr>
              <w:t xml:space="preserve"> </w:t>
            </w:r>
            <w:r w:rsidRPr="00A92CED">
              <w:rPr>
                <w:rFonts w:ascii="Calibri" w:hAnsi="Calibri" w:cs="Calibri"/>
                <w:lang w:val="fr-CA"/>
              </w:rPr>
              <w:t>Les quantités maximales de poudre sans fumée qui peuvent être stockées à tout moment dans un local d’habitation autre qu’un local d’habitation individuel ou dans une unité de stockage attenante à un local d’habitation autre qu’un local d’habitation individuel sont les suivantes :</w:t>
            </w:r>
          </w:p>
          <w:p w14:paraId="5A161531" w14:textId="768218F6" w:rsidR="00D31FBB" w:rsidRPr="00A92CED" w:rsidRDefault="00D31FBB" w:rsidP="00D15EFA">
            <w:pPr>
              <w:ind w:left="720"/>
              <w:rPr>
                <w:rFonts w:ascii="Calibri" w:hAnsi="Calibri" w:cs="Calibri"/>
                <w:lang w:val="fr-CA"/>
              </w:rPr>
            </w:pPr>
            <w:r w:rsidRPr="00A92CED">
              <w:rPr>
                <w:rFonts w:ascii="Calibri" w:hAnsi="Calibri" w:cs="Calibri"/>
                <w:lang w:val="fr-CA"/>
              </w:rPr>
              <w:t>a)</w:t>
            </w:r>
            <w:r w:rsidRPr="00A92CED">
              <w:rPr>
                <w:rFonts w:ascii="Calibri" w:hAnsi="Calibri" w:cs="Calibri"/>
                <w:b/>
                <w:bCs/>
                <w:lang w:val="fr-CA"/>
              </w:rPr>
              <w:t xml:space="preserve"> </w:t>
            </w:r>
            <w:r w:rsidRPr="00A92CED">
              <w:rPr>
                <w:rFonts w:ascii="Calibri" w:hAnsi="Calibri" w:cs="Calibri"/>
                <w:lang w:val="fr-CA"/>
              </w:rPr>
              <w:t>si toute la poudre sans fumée est dans des contenants ayant une capacité de 1 kg ou moins, 20 kg;</w:t>
            </w:r>
            <w:r w:rsidRPr="00A92CED">
              <w:rPr>
                <w:rFonts w:ascii="Calibri" w:hAnsi="Calibri" w:cs="Calibri"/>
                <w:lang w:val="fr-CA"/>
              </w:rPr>
              <w:br/>
              <w:t>b)</w:t>
            </w:r>
            <w:r w:rsidRPr="00A92CED">
              <w:rPr>
                <w:rFonts w:ascii="Calibri" w:hAnsi="Calibri" w:cs="Calibri"/>
                <w:b/>
                <w:bCs/>
                <w:lang w:val="fr-CA"/>
              </w:rPr>
              <w:t xml:space="preserve"> </w:t>
            </w:r>
            <w:r w:rsidRPr="00A92CED">
              <w:rPr>
                <w:rFonts w:ascii="Calibri" w:hAnsi="Calibri" w:cs="Calibri"/>
                <w:lang w:val="fr-CA"/>
              </w:rPr>
              <w:t>si une partie de la poudre sans fumée est dans un contenant ayant une capacité de plus de 1 kg, 5 kg.</w:t>
            </w:r>
          </w:p>
          <w:p w14:paraId="23E67745" w14:textId="77777777" w:rsidR="00D31FBB" w:rsidRPr="00A92CED" w:rsidRDefault="00D31FBB" w:rsidP="00D15EFA">
            <w:pPr>
              <w:rPr>
                <w:rFonts w:ascii="Calibri" w:hAnsi="Calibri" w:cs="Calibri"/>
                <w:lang w:val="fr-CA"/>
              </w:rPr>
            </w:pPr>
          </w:p>
          <w:p w14:paraId="60BBE2C7" w14:textId="6FEA75F8" w:rsidR="00D31FBB" w:rsidRPr="00A92CED" w:rsidRDefault="00D31FBB" w:rsidP="00D15EFA">
            <w:pPr>
              <w:rPr>
                <w:rFonts w:ascii="Calibri" w:hAnsi="Calibri" w:cs="Calibri"/>
                <w:lang w:val="fr-CA"/>
              </w:rPr>
            </w:pPr>
            <w:r w:rsidRPr="00A92CED">
              <w:rPr>
                <w:rFonts w:ascii="Calibri" w:hAnsi="Calibri" w:cs="Calibri"/>
                <w:lang w:val="fr-CA"/>
              </w:rPr>
              <w:t>(5)</w:t>
            </w:r>
            <w:r w:rsidRPr="00A92CED">
              <w:rPr>
                <w:rFonts w:ascii="Calibri" w:hAnsi="Calibri" w:cs="Calibri"/>
                <w:b/>
                <w:bCs/>
                <w:lang w:val="fr-CA"/>
              </w:rPr>
              <w:t xml:space="preserve"> </w:t>
            </w:r>
            <w:r w:rsidRPr="00A92CED">
              <w:rPr>
                <w:rFonts w:ascii="Calibri" w:hAnsi="Calibri" w:cs="Calibri"/>
                <w:lang w:val="fr-CA"/>
              </w:rPr>
              <w:t>Les quantités maximales de poudre noire qui peuvent être stockées à tout moment dans un local d’habitation autre qu’un local d’habitation individuel ou dans une unité de stockage attenante à un local d’habitation autre qu’un local d’habitation individuel sont les suivantes :</w:t>
            </w:r>
          </w:p>
          <w:p w14:paraId="55F298EE" w14:textId="5F4B2449" w:rsidR="00D31FBB" w:rsidRPr="00A92CED" w:rsidRDefault="00D31FBB" w:rsidP="00D15EFA">
            <w:pPr>
              <w:ind w:left="720"/>
              <w:rPr>
                <w:rFonts w:ascii="Calibri" w:hAnsi="Calibri" w:cs="Calibri"/>
                <w:lang w:val="fr-CA"/>
              </w:rPr>
            </w:pPr>
            <w:r w:rsidRPr="00A92CED">
              <w:rPr>
                <w:rFonts w:ascii="Calibri" w:hAnsi="Calibri" w:cs="Calibri"/>
                <w:lang w:val="fr-CA"/>
              </w:rPr>
              <w:t>a)</w:t>
            </w:r>
            <w:r w:rsidRPr="00A92CED">
              <w:rPr>
                <w:rFonts w:ascii="Calibri" w:hAnsi="Calibri" w:cs="Calibri"/>
                <w:b/>
                <w:bCs/>
                <w:lang w:val="fr-CA"/>
              </w:rPr>
              <w:t xml:space="preserve"> </w:t>
            </w:r>
            <w:r w:rsidRPr="00A92CED">
              <w:rPr>
                <w:rFonts w:ascii="Calibri" w:hAnsi="Calibri" w:cs="Calibri"/>
                <w:lang w:val="fr-CA"/>
              </w:rPr>
              <w:t>si la poudre noire est dans des contenants, 1 kg;</w:t>
            </w:r>
            <w:r w:rsidRPr="00A92CED">
              <w:rPr>
                <w:rFonts w:ascii="Calibri" w:hAnsi="Calibri" w:cs="Calibri"/>
                <w:lang w:val="fr-CA"/>
              </w:rPr>
              <w:br/>
              <w:t>b)</w:t>
            </w:r>
            <w:r w:rsidRPr="00A92CED">
              <w:rPr>
                <w:rFonts w:ascii="Calibri" w:hAnsi="Calibri" w:cs="Calibri"/>
                <w:b/>
                <w:bCs/>
                <w:lang w:val="fr-CA"/>
              </w:rPr>
              <w:t xml:space="preserve"> </w:t>
            </w:r>
            <w:r w:rsidRPr="00A92CED">
              <w:rPr>
                <w:rFonts w:ascii="Calibri" w:hAnsi="Calibri" w:cs="Calibri"/>
                <w:lang w:val="fr-CA"/>
              </w:rPr>
              <w:t xml:space="preserve">si elle est dans des </w:t>
            </w:r>
            <w:r w:rsidRPr="00A92CED">
              <w:rPr>
                <w:rFonts w:ascii="Calibri" w:hAnsi="Calibri" w:cs="Calibri"/>
                <w:lang w:val="fr-CA"/>
              </w:rPr>
              <w:lastRenderedPageBreak/>
              <w:t>cartouches pour armes de petit calibre ou dans des cartouches à poudre noire, 3 kg, moins toute quantité dans des contenants.</w:t>
            </w:r>
          </w:p>
          <w:p w14:paraId="2E40B94A" w14:textId="77777777" w:rsidR="00D31FBB" w:rsidRPr="00A92CED" w:rsidRDefault="00D31FBB" w:rsidP="00D15EFA">
            <w:pPr>
              <w:rPr>
                <w:rFonts w:ascii="Calibri" w:hAnsi="Calibri" w:cs="Calibri"/>
                <w:lang w:val="fr-CA"/>
              </w:rPr>
            </w:pPr>
          </w:p>
          <w:p w14:paraId="3396A4EE" w14:textId="31BF2BE0" w:rsidR="00D31FBB" w:rsidRPr="00A92CED" w:rsidRDefault="00D31FBB" w:rsidP="00D15EFA">
            <w:pPr>
              <w:rPr>
                <w:rFonts w:ascii="Calibri" w:hAnsi="Calibri" w:cs="Calibri"/>
                <w:b/>
                <w:lang w:val="fr-CA"/>
              </w:rPr>
            </w:pPr>
            <w:r w:rsidRPr="00A92CED">
              <w:rPr>
                <w:rFonts w:ascii="Calibri" w:hAnsi="Calibri" w:cs="Calibri"/>
                <w:lang w:val="fr-CA"/>
              </w:rPr>
              <w:t>(6)</w:t>
            </w:r>
            <w:r w:rsidRPr="00A92CED">
              <w:rPr>
                <w:rFonts w:ascii="Calibri" w:hAnsi="Calibri" w:cs="Calibri"/>
                <w:b/>
                <w:bCs/>
                <w:lang w:val="fr-CA"/>
              </w:rPr>
              <w:t xml:space="preserve"> </w:t>
            </w:r>
            <w:r w:rsidRPr="00A92CED">
              <w:rPr>
                <w:rFonts w:ascii="Calibri" w:hAnsi="Calibri" w:cs="Calibri"/>
                <w:lang w:val="fr-CA"/>
              </w:rPr>
              <w:t>Au plus 75 kg de poudre propulsive peut être stockée à tout moment dans des *unités de stockage qui ne sont pas attenantes à un local d’habitation, que la poudre soit stockée dans une ou plusieurs unités.</w:t>
            </w:r>
          </w:p>
        </w:tc>
        <w:tc>
          <w:tcPr>
            <w:tcW w:w="4076" w:type="dxa"/>
          </w:tcPr>
          <w:p w14:paraId="3541FAC7" w14:textId="25B45144" w:rsidR="00D31FBB" w:rsidRPr="00A92CED" w:rsidRDefault="00D31FBB" w:rsidP="00D15EFA">
            <w:pPr>
              <w:rPr>
                <w:lang w:val="fr-CA"/>
              </w:rPr>
            </w:pPr>
            <w:r w:rsidRPr="00A92CED">
              <w:rPr>
                <w:bCs/>
                <w:lang w:val="fr-CA"/>
              </w:rPr>
              <w:lastRenderedPageBreak/>
              <w:t>Modifier l’article 287 pour supprimer les paragraphes (3), (4), (5) et (6).</w:t>
            </w:r>
          </w:p>
        </w:tc>
        <w:tc>
          <w:tcPr>
            <w:tcW w:w="3143" w:type="dxa"/>
            <w:gridSpan w:val="2"/>
          </w:tcPr>
          <w:p w14:paraId="3F3E8699" w14:textId="03179E47" w:rsidR="00D31FBB" w:rsidRPr="00A92CED" w:rsidRDefault="00D31FBB" w:rsidP="00D15EFA">
            <w:pPr>
              <w:rPr>
                <w:lang w:val="fr-CA"/>
              </w:rPr>
            </w:pPr>
            <w:r w:rsidRPr="00A92CED">
              <w:rPr>
                <w:lang w:val="fr-CA"/>
              </w:rPr>
              <w:t xml:space="preserve">Cet amendement proposé vise à renforcer la sécurité et la sûreté en abordant les risques posés par la poudre propulsive. Cet </w:t>
            </w:r>
            <w:r w:rsidRPr="00A92CED">
              <w:rPr>
                <w:lang w:val="fr-CA"/>
              </w:rPr>
              <w:lastRenderedPageBreak/>
              <w:t>amendement proposé appuierait l’amendement qu’il est proposé d’apporter au paragraphe </w:t>
            </w:r>
            <w:r w:rsidRPr="00A92CED">
              <w:rPr>
                <w:rFonts w:cstheme="minorHAnsi"/>
                <w:lang w:val="fr-CA"/>
              </w:rPr>
              <w:t xml:space="preserve">283(2), au point 112 du présent document de consultation, pour </w:t>
            </w:r>
            <w:r w:rsidR="00F448B6" w:rsidRPr="00A92CED">
              <w:rPr>
                <w:rFonts w:cstheme="minorHAnsi"/>
                <w:lang w:val="fr-CA"/>
              </w:rPr>
              <w:t>ajouter une nouvelle exigence pour tous les détaillants</w:t>
            </w:r>
            <w:r w:rsidR="00F448B6" w:rsidRPr="00A92CED">
              <w:rPr>
                <w:rFonts w:cstheme="minorHAnsi"/>
                <w:lang w:val="fr-CA"/>
              </w:rPr>
              <w:t xml:space="preserve"> d’</w:t>
            </w:r>
            <w:r w:rsidRPr="00A92CED">
              <w:rPr>
                <w:rFonts w:cstheme="minorHAnsi"/>
                <w:lang w:val="fr-CA"/>
              </w:rPr>
              <w:t>avoir une licence pour acquérir, stocker et vendre de la poudre propulsive. Les exigences prévues aux paragraphes 287(3) à (6) seraient supprimées du Règlement afin qu’elles puissent être incluses dans les licences des détaillants.</w:t>
            </w:r>
          </w:p>
        </w:tc>
        <w:tc>
          <w:tcPr>
            <w:tcW w:w="3087" w:type="dxa"/>
          </w:tcPr>
          <w:p w14:paraId="07594FA5" w14:textId="77777777" w:rsidR="00D31FBB" w:rsidRPr="00A92CED" w:rsidRDefault="00D31FBB" w:rsidP="00D15EFA">
            <w:pPr>
              <w:rPr>
                <w:lang w:val="fr-CA"/>
              </w:rPr>
            </w:pPr>
          </w:p>
        </w:tc>
      </w:tr>
      <w:tr w:rsidR="00A92CED" w:rsidRPr="00A92CED" w14:paraId="06E8D287" w14:textId="08512764" w:rsidTr="00E10233">
        <w:tc>
          <w:tcPr>
            <w:tcW w:w="3126" w:type="dxa"/>
          </w:tcPr>
          <w:p w14:paraId="7AA9C3E5" w14:textId="77777777" w:rsidR="00D31FBB" w:rsidRPr="00A92CED" w:rsidRDefault="00D31FBB" w:rsidP="00D15EFA">
            <w:pPr>
              <w:pStyle w:val="ListParagraph"/>
              <w:numPr>
                <w:ilvl w:val="0"/>
                <w:numId w:val="1"/>
              </w:numPr>
              <w:jc w:val="center"/>
              <w:rPr>
                <w:lang w:val="fr-CA"/>
              </w:rPr>
            </w:pPr>
          </w:p>
        </w:tc>
        <w:tc>
          <w:tcPr>
            <w:tcW w:w="3715" w:type="dxa"/>
          </w:tcPr>
          <w:p w14:paraId="5DCD0EEB" w14:textId="47321738" w:rsidR="00D31FBB" w:rsidRPr="00A92CED" w:rsidRDefault="00D31FBB" w:rsidP="00D15EFA">
            <w:pPr>
              <w:rPr>
                <w:b/>
                <w:lang w:val="fr-CA"/>
              </w:rPr>
            </w:pPr>
            <w:r w:rsidRPr="00A92CED">
              <w:rPr>
                <w:b/>
                <w:lang w:val="fr-CA"/>
              </w:rPr>
              <w:t>NOUVEAU</w:t>
            </w:r>
          </w:p>
        </w:tc>
        <w:tc>
          <w:tcPr>
            <w:tcW w:w="4076" w:type="dxa"/>
          </w:tcPr>
          <w:p w14:paraId="29BE64E6" w14:textId="02C5C019" w:rsidR="00D31FBB" w:rsidRPr="00A92CED" w:rsidRDefault="00D31FBB" w:rsidP="00D15EFA">
            <w:pPr>
              <w:ind w:right="594"/>
              <w:rPr>
                <w:rFonts w:ascii="Calibri" w:hAnsi="Calibri" w:cs="Calibri"/>
                <w:lang w:val="fr-CA"/>
              </w:rPr>
            </w:pPr>
            <w:r w:rsidRPr="00A92CED">
              <w:rPr>
                <w:rFonts w:ascii="Calibri" w:hAnsi="Calibri" w:cs="Calibri"/>
                <w:lang w:val="fr-CA"/>
              </w:rPr>
              <w:t xml:space="preserve">Modifier la section 2 de la partie 14 pour ajouter les nouvelles exigences ci-après : </w:t>
            </w:r>
          </w:p>
          <w:p w14:paraId="0831894D" w14:textId="29E0A641" w:rsidR="00D31FBB" w:rsidRPr="00A92CED" w:rsidRDefault="00D31FBB" w:rsidP="00D15EFA">
            <w:pPr>
              <w:pStyle w:val="ListParagraph"/>
              <w:numPr>
                <w:ilvl w:val="0"/>
                <w:numId w:val="27"/>
              </w:numPr>
              <w:rPr>
                <w:rFonts w:ascii="Calibri" w:hAnsi="Calibri" w:cs="Calibri"/>
                <w:lang w:val="fr-CA"/>
              </w:rPr>
            </w:pPr>
            <w:r w:rsidRPr="00A92CED">
              <w:rPr>
                <w:rFonts w:ascii="Calibri" w:hAnsi="Calibri" w:cs="Calibri"/>
                <w:lang w:val="fr-CA"/>
              </w:rPr>
              <w:t>Au plus 25 kg d’explosifs de type P.1 peuvent être stockés dans une poudrière intérieure;</w:t>
            </w:r>
          </w:p>
          <w:p w14:paraId="6F6CF5DC" w14:textId="5F6EAA30" w:rsidR="00D31FBB" w:rsidRPr="00A92CED" w:rsidRDefault="00D31FBB" w:rsidP="00D15EFA">
            <w:pPr>
              <w:pStyle w:val="ListParagraph"/>
              <w:numPr>
                <w:ilvl w:val="0"/>
                <w:numId w:val="27"/>
              </w:numPr>
              <w:rPr>
                <w:rFonts w:ascii="Calibri" w:hAnsi="Calibri" w:cs="Calibri"/>
                <w:lang w:val="fr-CA"/>
              </w:rPr>
            </w:pPr>
            <w:r w:rsidRPr="00A92CED">
              <w:rPr>
                <w:rFonts w:ascii="Calibri" w:hAnsi="Calibri" w:cs="Calibri"/>
                <w:lang w:val="fr-CA"/>
              </w:rPr>
              <w:t>Au plus 125 kg d’explosifs de type P.2 peuvent être stockés dans une poudrière intérieure;</w:t>
            </w:r>
          </w:p>
          <w:p w14:paraId="4220DD2D" w14:textId="6297CC44" w:rsidR="00D31FBB" w:rsidRPr="00A92CED" w:rsidRDefault="00D31FBB" w:rsidP="00D15EFA">
            <w:pPr>
              <w:pStyle w:val="ListParagraph"/>
              <w:numPr>
                <w:ilvl w:val="0"/>
                <w:numId w:val="27"/>
              </w:numPr>
              <w:rPr>
                <w:rFonts w:ascii="Calibri" w:hAnsi="Calibri" w:cs="Calibri"/>
                <w:lang w:val="fr-CA"/>
              </w:rPr>
            </w:pPr>
            <w:r w:rsidRPr="00A92CED">
              <w:rPr>
                <w:rFonts w:ascii="Calibri" w:hAnsi="Calibri" w:cs="Calibri"/>
                <w:lang w:val="fr-CA"/>
              </w:rPr>
              <w:t xml:space="preserve">Si des explosifs de type P.1 et des explosifs de type P.2 sont stockés dans une même poudrière intérieure, la quantité combinée qui peut y être stockée est d’au plus 25 kg; </w:t>
            </w:r>
          </w:p>
          <w:p w14:paraId="01D1E2B0" w14:textId="41EFB920" w:rsidR="00D31FBB" w:rsidRPr="00A92CED" w:rsidRDefault="00D31FBB" w:rsidP="00D15EFA">
            <w:pPr>
              <w:pStyle w:val="ListParagraph"/>
              <w:numPr>
                <w:ilvl w:val="0"/>
                <w:numId w:val="27"/>
              </w:numPr>
              <w:rPr>
                <w:rFonts w:ascii="Calibri" w:hAnsi="Calibri" w:cs="Calibri"/>
                <w:lang w:val="fr-CA"/>
              </w:rPr>
            </w:pPr>
            <w:r w:rsidRPr="00A92CED">
              <w:rPr>
                <w:rFonts w:ascii="Calibri" w:hAnsi="Calibri" w:cs="Calibri"/>
                <w:lang w:val="fr-CA"/>
              </w:rPr>
              <w:t xml:space="preserve">Au plus 25 kg d’explosifs de type P.1 peuvent être stockés à l’intérieur d’un bâtiment; </w:t>
            </w:r>
          </w:p>
          <w:p w14:paraId="6BF23D85" w14:textId="278D5EAD" w:rsidR="00D31FBB" w:rsidRPr="00A92CED" w:rsidRDefault="00D31FBB" w:rsidP="00D15EFA">
            <w:pPr>
              <w:pStyle w:val="ListParagraph"/>
              <w:numPr>
                <w:ilvl w:val="0"/>
                <w:numId w:val="27"/>
              </w:numPr>
              <w:rPr>
                <w:rFonts w:ascii="Calibri" w:hAnsi="Calibri" w:cs="Calibri"/>
                <w:lang w:val="fr-CA"/>
              </w:rPr>
            </w:pPr>
            <w:r w:rsidRPr="00A92CED">
              <w:rPr>
                <w:rFonts w:ascii="Calibri" w:hAnsi="Calibri" w:cs="Calibri"/>
                <w:lang w:val="fr-CA"/>
              </w:rPr>
              <w:t xml:space="preserve">Les limites de quantité ci-après s’appliquent au stockage d’explosifs de type P.2 qui peuvent </w:t>
            </w:r>
            <w:r w:rsidRPr="00A92CED">
              <w:rPr>
                <w:rFonts w:ascii="Calibri" w:hAnsi="Calibri" w:cs="Calibri"/>
                <w:lang w:val="fr-CA"/>
              </w:rPr>
              <w:lastRenderedPageBreak/>
              <w:t xml:space="preserve">être stockés à l’intérieur d’un </w:t>
            </w:r>
            <w:r w:rsidR="00F448B6" w:rsidRPr="00A92CED">
              <w:rPr>
                <w:rFonts w:ascii="Calibri" w:hAnsi="Calibri" w:cs="Calibri"/>
                <w:lang w:val="fr-CA"/>
              </w:rPr>
              <w:t>établissement de vente</w:t>
            </w:r>
            <w:r w:rsidRPr="00A92CED">
              <w:rPr>
                <w:rFonts w:ascii="Calibri" w:hAnsi="Calibri" w:cs="Calibri"/>
                <w:lang w:val="fr-CA"/>
              </w:rPr>
              <w:t> :</w:t>
            </w:r>
          </w:p>
          <w:p w14:paraId="472F1160" w14:textId="686F9B7A" w:rsidR="00D31FBB" w:rsidRPr="00A92CED" w:rsidRDefault="00D31FBB" w:rsidP="00D15EFA">
            <w:pPr>
              <w:pStyle w:val="ListParagraph"/>
              <w:numPr>
                <w:ilvl w:val="1"/>
                <w:numId w:val="27"/>
              </w:numPr>
              <w:rPr>
                <w:rFonts w:ascii="Calibri" w:hAnsi="Calibri" w:cs="Calibri"/>
                <w:lang w:val="fr-CA"/>
              </w:rPr>
            </w:pPr>
            <w:r w:rsidRPr="00A92CED">
              <w:rPr>
                <w:rFonts w:ascii="Calibri" w:hAnsi="Calibri" w:cs="Calibri"/>
                <w:lang w:val="fr-CA"/>
              </w:rPr>
              <w:t xml:space="preserve">Au plus 750 kg d’explosifs de type P.2 peuvent être stockés dans un lieu de vente au détail, dont au plus 375 kg peuvent être stockés dans des poudrières situées sur le sol du lieu de vente au détail ou dans le secteur de vente au détail; </w:t>
            </w:r>
          </w:p>
          <w:p w14:paraId="73BA7C98" w14:textId="244660F7" w:rsidR="00D31FBB" w:rsidRPr="00A92CED" w:rsidRDefault="00D31FBB" w:rsidP="00D15EFA">
            <w:pPr>
              <w:pStyle w:val="ListParagraph"/>
              <w:numPr>
                <w:ilvl w:val="1"/>
                <w:numId w:val="27"/>
              </w:numPr>
              <w:rPr>
                <w:rFonts w:ascii="Calibri" w:hAnsi="Calibri" w:cs="Calibri"/>
                <w:lang w:val="fr-CA"/>
              </w:rPr>
            </w:pPr>
            <w:r w:rsidRPr="00A92CED">
              <w:rPr>
                <w:rFonts w:ascii="Calibri" w:hAnsi="Calibri" w:cs="Calibri"/>
                <w:lang w:val="fr-CA"/>
              </w:rPr>
              <w:t>Toute poudre propulsive qui ne se trouve pas dans le secteur de vente au détail doit être stockée dans des poudrières se trouvant dans l’arrière-boutique, qui ne doit pas être accessible aux clients;</w:t>
            </w:r>
          </w:p>
          <w:p w14:paraId="6EC456D7" w14:textId="77777777" w:rsidR="00F448B6" w:rsidRPr="00A92CED" w:rsidRDefault="00F448B6" w:rsidP="00F448B6">
            <w:pPr>
              <w:pStyle w:val="ListParagraph"/>
              <w:numPr>
                <w:ilvl w:val="0"/>
                <w:numId w:val="27"/>
              </w:numPr>
              <w:rPr>
                <w:rFonts w:ascii="Calibri" w:hAnsi="Calibri" w:cs="Calibri"/>
                <w:lang w:val="fr-CA"/>
              </w:rPr>
            </w:pPr>
            <w:r w:rsidRPr="00A92CED">
              <w:rPr>
                <w:rFonts w:ascii="Calibri" w:hAnsi="Calibri" w:cs="Calibri"/>
                <w:lang w:val="fr-CA"/>
              </w:rPr>
              <w:t xml:space="preserve">Les quantités totales suivantes s’appliquent à l’entreposage d’explosifs de type P.2 qui peuvent être entreposés à l’intérieur d’un centre de distribution ou d’un entrepôt, à condition que le centre de distribution ou l’entrepôt ne soit pas accessible au public : </w:t>
            </w:r>
          </w:p>
          <w:p w14:paraId="7D4476D4" w14:textId="374172F8" w:rsidR="00F448B6" w:rsidRPr="00A92CED" w:rsidRDefault="00F448B6" w:rsidP="00F448B6">
            <w:pPr>
              <w:pStyle w:val="ListParagraph"/>
              <w:numPr>
                <w:ilvl w:val="1"/>
                <w:numId w:val="27"/>
              </w:numPr>
              <w:rPr>
                <w:rFonts w:ascii="Calibri" w:hAnsi="Calibri" w:cs="Calibri"/>
                <w:lang w:val="fr-CA"/>
              </w:rPr>
            </w:pPr>
            <w:r w:rsidRPr="00A92CED">
              <w:rPr>
                <w:rFonts w:ascii="Calibri" w:hAnsi="Calibri" w:cs="Calibri"/>
                <w:lang w:val="fr-CA"/>
              </w:rPr>
              <w:t xml:space="preserve">Pas plus de 2 200 kg de </w:t>
            </w:r>
            <w:r w:rsidRPr="00A92CED">
              <w:rPr>
                <w:rFonts w:ascii="Calibri" w:hAnsi="Calibri" w:cs="Calibri"/>
                <w:lang w:val="fr-CA"/>
              </w:rPr>
              <w:t>Q</w:t>
            </w:r>
            <w:r w:rsidRPr="00A92CED">
              <w:rPr>
                <w:rFonts w:ascii="Calibri" w:hAnsi="Calibri" w:cs="Calibri"/>
                <w:lang w:val="fr-CA"/>
              </w:rPr>
              <w:t>NE, à condition qu’un maximum de 125</w:t>
            </w:r>
            <w:r w:rsidRPr="00A92CED">
              <w:rPr>
                <w:rFonts w:ascii="Calibri" w:hAnsi="Calibri" w:cs="Calibri"/>
                <w:lang w:val="fr-CA"/>
              </w:rPr>
              <w:t> </w:t>
            </w:r>
            <w:r w:rsidRPr="00A92CED">
              <w:rPr>
                <w:rFonts w:ascii="Calibri" w:hAnsi="Calibri" w:cs="Calibri"/>
                <w:lang w:val="fr-CA"/>
              </w:rPr>
              <w:t xml:space="preserve">kg de </w:t>
            </w:r>
            <w:r w:rsidRPr="00A92CED">
              <w:rPr>
                <w:rFonts w:ascii="Calibri" w:hAnsi="Calibri" w:cs="Calibri"/>
                <w:lang w:val="fr-CA"/>
              </w:rPr>
              <w:t>Q</w:t>
            </w:r>
            <w:r w:rsidRPr="00A92CED">
              <w:rPr>
                <w:rFonts w:ascii="Calibri" w:hAnsi="Calibri" w:cs="Calibri"/>
                <w:lang w:val="fr-CA"/>
              </w:rPr>
              <w:t xml:space="preserve">NE soit stocké dans chaque </w:t>
            </w:r>
            <w:r w:rsidRPr="00A92CED">
              <w:rPr>
                <w:rFonts w:ascii="Calibri" w:hAnsi="Calibri" w:cs="Calibri"/>
                <w:lang w:val="fr-CA"/>
              </w:rPr>
              <w:t>poudrière</w:t>
            </w:r>
            <w:r w:rsidRPr="00A92CED">
              <w:rPr>
                <w:rFonts w:ascii="Calibri" w:hAnsi="Calibri" w:cs="Calibri"/>
                <w:lang w:val="fr-CA"/>
              </w:rPr>
              <w:t xml:space="preserve">. </w:t>
            </w:r>
          </w:p>
          <w:p w14:paraId="1EC22869" w14:textId="7143D1D3" w:rsidR="00D31FBB" w:rsidRPr="00A92CED" w:rsidRDefault="00D31FBB" w:rsidP="00D15EFA">
            <w:pPr>
              <w:pStyle w:val="ListParagraph"/>
              <w:numPr>
                <w:ilvl w:val="1"/>
                <w:numId w:val="27"/>
              </w:numPr>
              <w:rPr>
                <w:lang w:val="fr-CA"/>
              </w:rPr>
            </w:pPr>
            <w:r w:rsidRPr="00A92CED">
              <w:rPr>
                <w:rFonts w:ascii="Calibri" w:hAnsi="Calibri" w:cs="Calibri"/>
                <w:lang w:val="fr-CA"/>
              </w:rPr>
              <w:lastRenderedPageBreak/>
              <w:t>Une distance d’au moins 10 mètres doit être maintenue entre chaque poudrière où est stockée de la poudre propulsive.</w:t>
            </w:r>
          </w:p>
        </w:tc>
        <w:tc>
          <w:tcPr>
            <w:tcW w:w="3143" w:type="dxa"/>
            <w:gridSpan w:val="2"/>
          </w:tcPr>
          <w:p w14:paraId="19951239" w14:textId="2C5C1C79" w:rsidR="00D31FBB" w:rsidRPr="00A92CED" w:rsidRDefault="00D31FBB" w:rsidP="00F448B6">
            <w:pPr>
              <w:rPr>
                <w:lang w:val="fr-CA"/>
              </w:rPr>
            </w:pPr>
            <w:r w:rsidRPr="00A92CED">
              <w:rPr>
                <w:lang w:val="fr-CA"/>
              </w:rPr>
              <w:lastRenderedPageBreak/>
              <w:t>Cet</w:t>
            </w:r>
            <w:r w:rsidR="00F448B6" w:rsidRPr="00A92CED">
              <w:rPr>
                <w:lang w:val="fr-CA"/>
              </w:rPr>
              <w:t>te</w:t>
            </w:r>
            <w:r w:rsidRPr="00A92CED">
              <w:rPr>
                <w:lang w:val="fr-CA"/>
              </w:rPr>
              <w:t xml:space="preserve"> </w:t>
            </w:r>
            <w:r w:rsidR="00F448B6" w:rsidRPr="00A92CED">
              <w:rPr>
                <w:lang w:val="fr-CA"/>
              </w:rPr>
              <w:t>modification</w:t>
            </w:r>
            <w:r w:rsidRPr="00A92CED">
              <w:rPr>
                <w:lang w:val="fr-CA"/>
              </w:rPr>
              <w:t xml:space="preserve"> proposé</w:t>
            </w:r>
            <w:r w:rsidR="00F448B6" w:rsidRPr="00A92CED">
              <w:rPr>
                <w:lang w:val="fr-CA"/>
              </w:rPr>
              <w:t>e</w:t>
            </w:r>
            <w:r w:rsidRPr="00A92CED">
              <w:rPr>
                <w:lang w:val="fr-CA"/>
              </w:rPr>
              <w:t xml:space="preserve"> vise à renforcer la sécurité et la sûreté en abordant les risques posés par la poudre propulsive.</w:t>
            </w:r>
            <w:r w:rsidR="00F448B6" w:rsidRPr="00A92CED">
              <w:rPr>
                <w:lang w:val="fr-CA"/>
              </w:rPr>
              <w:t xml:space="preserve"> </w:t>
            </w:r>
            <w:r w:rsidR="00F448B6" w:rsidRPr="00A92CED">
              <w:rPr>
                <w:rFonts w:ascii="Calibri" w:hAnsi="Calibri" w:cs="Calibri"/>
                <w:lang w:val="fr-CA"/>
              </w:rPr>
              <w:t>Cette modification proposée vise également à enchâsser ces exigences dans le Règlement plutôt que de les inclure dans les modalités de chaque</w:t>
            </w:r>
            <w:r w:rsidR="00F448B6" w:rsidRPr="00A92CED">
              <w:rPr>
                <w:rFonts w:ascii="Calibri" w:hAnsi="Calibri" w:cs="Calibri"/>
                <w:lang w:val="fr-CA"/>
              </w:rPr>
              <w:t xml:space="preserve"> licence.</w:t>
            </w:r>
          </w:p>
        </w:tc>
        <w:tc>
          <w:tcPr>
            <w:tcW w:w="3087" w:type="dxa"/>
          </w:tcPr>
          <w:p w14:paraId="2C60CE84" w14:textId="77777777" w:rsidR="00D31FBB" w:rsidRPr="00A92CED" w:rsidRDefault="00D31FBB" w:rsidP="00D15EFA">
            <w:pPr>
              <w:rPr>
                <w:lang w:val="fr-CA"/>
              </w:rPr>
            </w:pPr>
          </w:p>
        </w:tc>
      </w:tr>
      <w:tr w:rsidR="00A92CED" w:rsidRPr="00A92CED" w14:paraId="740A26FB" w14:textId="18DF77B8" w:rsidTr="00E10233">
        <w:tc>
          <w:tcPr>
            <w:tcW w:w="3126" w:type="dxa"/>
          </w:tcPr>
          <w:p w14:paraId="0E8F0315" w14:textId="77777777" w:rsidR="00D31FBB" w:rsidRPr="00A92CED" w:rsidRDefault="00D31FBB" w:rsidP="00D15EFA">
            <w:pPr>
              <w:pStyle w:val="ListParagraph"/>
              <w:numPr>
                <w:ilvl w:val="0"/>
                <w:numId w:val="1"/>
              </w:numPr>
              <w:jc w:val="center"/>
              <w:rPr>
                <w:lang w:val="fr-CA"/>
              </w:rPr>
            </w:pPr>
          </w:p>
        </w:tc>
        <w:tc>
          <w:tcPr>
            <w:tcW w:w="3715" w:type="dxa"/>
          </w:tcPr>
          <w:p w14:paraId="1F75F713" w14:textId="3356A9CC" w:rsidR="00D31FBB" w:rsidRPr="00A92CED" w:rsidRDefault="00D31FBB" w:rsidP="00D15EFA">
            <w:pPr>
              <w:rPr>
                <w:rFonts w:ascii="Calibri" w:hAnsi="Calibri" w:cs="Calibri"/>
                <w:b/>
                <w:lang w:val="fr-CA"/>
              </w:rPr>
            </w:pPr>
            <w:r w:rsidRPr="00A92CED">
              <w:rPr>
                <w:rFonts w:ascii="Calibri" w:hAnsi="Calibri" w:cs="Calibri"/>
                <w:b/>
                <w:bCs/>
                <w:lang w:val="fr-CA"/>
              </w:rPr>
              <w:t xml:space="preserve">290 </w:t>
            </w:r>
            <w:r w:rsidRPr="00A92CED">
              <w:rPr>
                <w:rFonts w:ascii="Calibri" w:hAnsi="Calibri" w:cs="Calibri"/>
                <w:lang w:val="fr-CA"/>
              </w:rPr>
              <w:t>Avant de commencer à vendre de la poudre propulsive, le détaillant qui n’est pas titulaire d’une licence envoie à l’inspecteur en chef des explosifs un avis indiquant ses nom, adresse, numéro de téléphone, numéro de télécopieur et adresse électronique, ainsi que la date à laquelle il commencera à vendre. S’il cesse de vendre de la poudre propulsive, il en informe par écrit l’inspecteur en chef des explosifs dès que possible.</w:t>
            </w:r>
          </w:p>
        </w:tc>
        <w:tc>
          <w:tcPr>
            <w:tcW w:w="4076" w:type="dxa"/>
          </w:tcPr>
          <w:p w14:paraId="0B946175" w14:textId="49EB6B81" w:rsidR="00D31FBB" w:rsidRPr="00A92CED" w:rsidRDefault="00D31FBB" w:rsidP="00D15EFA">
            <w:pPr>
              <w:rPr>
                <w:rFonts w:ascii="Calibri" w:hAnsi="Calibri" w:cs="Calibri"/>
                <w:lang w:val="fr-CA"/>
              </w:rPr>
            </w:pPr>
            <w:r w:rsidRPr="00A92CED">
              <w:rPr>
                <w:bCs/>
                <w:lang w:val="fr-CA"/>
              </w:rPr>
              <w:t>Modifier la section 2 de la partie 14 pour supprimer l’article 290.</w:t>
            </w:r>
          </w:p>
        </w:tc>
        <w:tc>
          <w:tcPr>
            <w:tcW w:w="3143" w:type="dxa"/>
            <w:gridSpan w:val="2"/>
          </w:tcPr>
          <w:p w14:paraId="566B78E7" w14:textId="7D777D19" w:rsidR="00D31FBB" w:rsidRPr="00A92CED" w:rsidRDefault="00D31FBB" w:rsidP="00D15EFA">
            <w:pPr>
              <w:rPr>
                <w:lang w:val="fr-CA"/>
              </w:rPr>
            </w:pPr>
            <w:r w:rsidRPr="00A92CED">
              <w:rPr>
                <w:lang w:val="fr-CA"/>
              </w:rPr>
              <w:t>Cet amendement proposé vise à renforcer la sécurité et la sûreté en abordant les risques posés par la poudre propulsive. Cet amendement proposé appuierait l’amendement qu’il est proposé d’apporter au paragraphe </w:t>
            </w:r>
            <w:r w:rsidRPr="00A92CED">
              <w:rPr>
                <w:rFonts w:cstheme="minorHAnsi"/>
                <w:lang w:val="fr-CA"/>
              </w:rPr>
              <w:t>283(2), au point 112 du présent document de consultation, pour indiquer clairement que les détaillants doivent avoir une licence pour acquérir, stocker et vendre de la poudre propulsive.</w:t>
            </w:r>
          </w:p>
        </w:tc>
        <w:tc>
          <w:tcPr>
            <w:tcW w:w="3087" w:type="dxa"/>
          </w:tcPr>
          <w:p w14:paraId="5000988C" w14:textId="77777777" w:rsidR="00D31FBB" w:rsidRPr="00A92CED" w:rsidRDefault="00D31FBB" w:rsidP="00D15EFA">
            <w:pPr>
              <w:rPr>
                <w:lang w:val="fr-CA"/>
              </w:rPr>
            </w:pPr>
          </w:p>
        </w:tc>
      </w:tr>
      <w:tr w:rsidR="00A92CED" w:rsidRPr="00A92CED" w14:paraId="3DF7769E" w14:textId="77777777" w:rsidTr="00E10233">
        <w:tc>
          <w:tcPr>
            <w:tcW w:w="3126" w:type="dxa"/>
          </w:tcPr>
          <w:p w14:paraId="727E8325" w14:textId="77777777" w:rsidR="00D31FBB" w:rsidRPr="00A92CED" w:rsidRDefault="00D31FBB" w:rsidP="00EE28BD">
            <w:pPr>
              <w:pStyle w:val="ListParagraph"/>
              <w:numPr>
                <w:ilvl w:val="0"/>
                <w:numId w:val="1"/>
              </w:numPr>
              <w:jc w:val="center"/>
              <w:rPr>
                <w:lang w:val="fr-CA"/>
              </w:rPr>
            </w:pPr>
          </w:p>
        </w:tc>
        <w:tc>
          <w:tcPr>
            <w:tcW w:w="3715" w:type="dxa"/>
          </w:tcPr>
          <w:p w14:paraId="7A7A2543" w14:textId="3C06E749" w:rsidR="00D31FBB" w:rsidRPr="00A92CED" w:rsidRDefault="00D31FBB" w:rsidP="002B1331">
            <w:pPr>
              <w:rPr>
                <w:rFonts w:ascii="Calibri" w:hAnsi="Calibri" w:cs="Calibri"/>
                <w:b/>
                <w:bCs/>
                <w:lang w:val="fr-CA"/>
              </w:rPr>
            </w:pPr>
            <w:r w:rsidRPr="00A92CED">
              <w:rPr>
                <w:rFonts w:ascii="Calibri" w:hAnsi="Calibri" w:cs="Calibri"/>
                <w:b/>
                <w:bCs/>
                <w:lang w:val="fr-CA"/>
              </w:rPr>
              <w:t>NOUVEAU</w:t>
            </w:r>
          </w:p>
        </w:tc>
        <w:tc>
          <w:tcPr>
            <w:tcW w:w="4076" w:type="dxa"/>
          </w:tcPr>
          <w:p w14:paraId="25CF44F3" w14:textId="75629B53" w:rsidR="00D31FBB" w:rsidRPr="00A92CED" w:rsidRDefault="00D31FBB" w:rsidP="002B1331">
            <w:pPr>
              <w:rPr>
                <w:rFonts w:cstheme="minorHAnsi"/>
                <w:lang w:val="fr-CA"/>
              </w:rPr>
            </w:pPr>
            <w:r w:rsidRPr="00A92CED">
              <w:rPr>
                <w:lang w:val="fr-CA"/>
              </w:rPr>
              <w:t xml:space="preserve">Ajouter à la Section 2 de la Partie 14 une exigence selon laquelle un vendeur doit s’assurer que tout emballage ou contenant qui a été utilisé pour des explosifs de type C.3, P.1 ou P.2 n’est pas réutilisé à moins que </w:t>
            </w:r>
            <w:r w:rsidRPr="00A92CED">
              <w:rPr>
                <w:rFonts w:cstheme="minorHAnsi"/>
                <w:lang w:val="fr-CA"/>
              </w:rPr>
              <w:t xml:space="preserve">: </w:t>
            </w:r>
          </w:p>
          <w:p w14:paraId="1B94F413" w14:textId="0CED4011"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La classification aux fins du transport des explosifs de type </w:t>
            </w:r>
            <w:r w:rsidRPr="00A92CED">
              <w:rPr>
                <w:lang w:val="fr-CA"/>
              </w:rPr>
              <w:t xml:space="preserve">C.3, P.1 ou P.2 </w:t>
            </w:r>
            <w:r w:rsidRPr="00A92CED">
              <w:rPr>
                <w:rFonts w:cstheme="minorHAnsi"/>
                <w:lang w:val="fr-CA"/>
              </w:rPr>
              <w:t>reste inchangée;</w:t>
            </w:r>
          </w:p>
          <w:p w14:paraId="3C642F8E" w14:textId="1A738BDA"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Les explosifs de type </w:t>
            </w:r>
            <w:r w:rsidRPr="00A92CED">
              <w:rPr>
                <w:lang w:val="fr-CA"/>
              </w:rPr>
              <w:t xml:space="preserve">C.3, P.1 ou P.2 </w:t>
            </w:r>
            <w:r w:rsidRPr="00A92CED">
              <w:rPr>
                <w:rFonts w:cstheme="minorHAnsi"/>
                <w:lang w:val="fr-CA"/>
              </w:rPr>
              <w:t>sont disposés dans l’emballage ou le contenant de manière à réduire au minimum leur mouvement pendant le transport;</w:t>
            </w:r>
          </w:p>
          <w:p w14:paraId="6A812C55"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lastRenderedPageBreak/>
              <w:t>L’emballage ou le contenant est fermé pour le transport de la même manière que lors de sa première utilisation;</w:t>
            </w:r>
          </w:p>
          <w:p w14:paraId="788E993C" w14:textId="05089E5F"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La masse des explosifs de type </w:t>
            </w:r>
            <w:r w:rsidRPr="00A92CED">
              <w:rPr>
                <w:lang w:val="fr-CA"/>
              </w:rPr>
              <w:t>C.3, P.1 ou P.2</w:t>
            </w:r>
            <w:r w:rsidRPr="00A92CED">
              <w:rPr>
                <w:rFonts w:cstheme="minorHAnsi"/>
                <w:lang w:val="fr-CA"/>
              </w:rPr>
              <w:t xml:space="preserve"> est égale ou inférieure à la masse des explosifs lors de la première utilisation de l’emballage ou du contenant;</w:t>
            </w:r>
          </w:p>
          <w:p w14:paraId="3AF4813D" w14:textId="11998344" w:rsidR="00D31FBB" w:rsidRPr="00A92CED" w:rsidRDefault="00D31FBB" w:rsidP="002B1331">
            <w:pPr>
              <w:pStyle w:val="ListParagraph"/>
              <w:numPr>
                <w:ilvl w:val="0"/>
                <w:numId w:val="27"/>
              </w:numPr>
              <w:ind w:left="714" w:hanging="357"/>
              <w:contextualSpacing w:val="0"/>
              <w:rPr>
                <w:rFonts w:cstheme="minorHAnsi"/>
                <w:lang w:val="fr-CA"/>
              </w:rPr>
            </w:pPr>
            <w:r w:rsidRPr="00A92CED">
              <w:rPr>
                <w:rFonts w:cstheme="minorHAnsi"/>
                <w:lang w:val="fr-CA"/>
              </w:rPr>
              <w:t>L’emballage ou le contenant ne présente aucun signe de dommage, de contamination ou de réduction de sa robustesse.</w:t>
            </w:r>
          </w:p>
        </w:tc>
        <w:tc>
          <w:tcPr>
            <w:tcW w:w="3143" w:type="dxa"/>
            <w:gridSpan w:val="2"/>
          </w:tcPr>
          <w:p w14:paraId="37D7F03A" w14:textId="31A5B591" w:rsidR="00D31FBB" w:rsidRPr="00A92CED" w:rsidRDefault="00D31FBB" w:rsidP="002B1331">
            <w:pPr>
              <w:rPr>
                <w:rFonts w:cstheme="minorHAnsi"/>
                <w:lang w:val="fr-CA"/>
              </w:rPr>
            </w:pPr>
            <w:r w:rsidRPr="00A92CED">
              <w:rPr>
                <w:rFonts w:cstheme="minorHAnsi"/>
                <w:lang w:val="fr-CA"/>
              </w:rPr>
              <w:lastRenderedPageBreak/>
              <w:t>Les exigences relatives à la réutilisation des emballages d’explosifs étaient contenues auparavant dans la norme sur l’emballage de Transports Canada (CGSB-43.151) du Règlement sur le TMD.</w:t>
            </w:r>
          </w:p>
          <w:p w14:paraId="7227A088" w14:textId="77777777" w:rsidR="00D31FBB" w:rsidRPr="00A92CED" w:rsidRDefault="00D31FBB" w:rsidP="002B1331">
            <w:pPr>
              <w:rPr>
                <w:rFonts w:cstheme="minorHAnsi"/>
                <w:lang w:val="fr-CA"/>
              </w:rPr>
            </w:pPr>
          </w:p>
          <w:p w14:paraId="3F2133C8" w14:textId="37129DED" w:rsidR="00D31FBB" w:rsidRPr="00A92CED" w:rsidRDefault="00D31FBB" w:rsidP="002B1331">
            <w:pPr>
              <w:rPr>
                <w:rFonts w:cstheme="minorHAnsi"/>
                <w:lang w:val="fr-CA"/>
              </w:rPr>
            </w:pPr>
            <w:r w:rsidRPr="00A92CED">
              <w:rPr>
                <w:rFonts w:cstheme="minorHAnsi"/>
                <w:lang w:val="fr-CA"/>
              </w:rPr>
              <w:t xml:space="preserve">À la suite de discussions entre Transports Canada et RNCan, il a été convenu de faire de la réglementation des exigences relatives à la réutilisation des emballages d’explosifs la </w:t>
            </w:r>
            <w:r w:rsidRPr="00A92CED">
              <w:rPr>
                <w:rFonts w:cstheme="minorHAnsi"/>
                <w:lang w:val="fr-CA"/>
              </w:rPr>
              <w:lastRenderedPageBreak/>
              <w:t xml:space="preserve">responsabilité de RNCan plutôt que de  TC. Le pouvoir de réglementer cette question est conféré en vertu de l’alinéa 5 </w:t>
            </w:r>
            <w:r w:rsidRPr="00A92CED">
              <w:rPr>
                <w:rFonts w:cstheme="minorHAnsi"/>
                <w:i/>
                <w:iCs/>
                <w:lang w:val="fr-CA"/>
              </w:rPr>
              <w:t>c</w:t>
            </w:r>
            <w:r w:rsidRPr="00A92CED">
              <w:rPr>
                <w:rFonts w:cstheme="minorHAnsi"/>
                <w:lang w:val="fr-CA"/>
              </w:rPr>
              <w:t xml:space="preserve">) de la </w:t>
            </w:r>
            <w:r w:rsidRPr="00A92CED">
              <w:rPr>
                <w:rFonts w:cstheme="minorHAnsi"/>
                <w:i/>
                <w:iCs/>
                <w:lang w:val="fr-CA"/>
              </w:rPr>
              <w:t>Loi sur les explosifs</w:t>
            </w:r>
            <w:r w:rsidRPr="00A92CED">
              <w:rPr>
                <w:rFonts w:cstheme="minorHAnsi"/>
                <w:lang w:val="fr-CA"/>
              </w:rPr>
              <w:t>.</w:t>
            </w:r>
          </w:p>
          <w:p w14:paraId="510ECB6A" w14:textId="77777777" w:rsidR="00D31FBB" w:rsidRPr="00A92CED" w:rsidRDefault="00D31FBB" w:rsidP="002B1331">
            <w:pPr>
              <w:rPr>
                <w:lang w:val="fr-CA"/>
              </w:rPr>
            </w:pPr>
          </w:p>
        </w:tc>
        <w:tc>
          <w:tcPr>
            <w:tcW w:w="3087" w:type="dxa"/>
          </w:tcPr>
          <w:p w14:paraId="3F9E7B92" w14:textId="77777777" w:rsidR="00D31FBB" w:rsidRPr="00A92CED" w:rsidRDefault="00D31FBB" w:rsidP="00EE28BD">
            <w:pPr>
              <w:rPr>
                <w:lang w:val="fr-CA"/>
              </w:rPr>
            </w:pPr>
          </w:p>
        </w:tc>
      </w:tr>
      <w:tr w:rsidR="00A92CED" w:rsidRPr="00A92CED" w14:paraId="4A0F43CE" w14:textId="77777777" w:rsidTr="00E10233">
        <w:tc>
          <w:tcPr>
            <w:tcW w:w="3126" w:type="dxa"/>
          </w:tcPr>
          <w:p w14:paraId="48AFC97A" w14:textId="77777777" w:rsidR="00D31FBB" w:rsidRPr="00A92CED" w:rsidRDefault="00D31FBB" w:rsidP="00EE28BD">
            <w:pPr>
              <w:pStyle w:val="ListParagraph"/>
              <w:numPr>
                <w:ilvl w:val="0"/>
                <w:numId w:val="1"/>
              </w:numPr>
              <w:jc w:val="center"/>
              <w:rPr>
                <w:lang w:val="fr-CA"/>
              </w:rPr>
            </w:pPr>
          </w:p>
        </w:tc>
        <w:tc>
          <w:tcPr>
            <w:tcW w:w="3715" w:type="dxa"/>
          </w:tcPr>
          <w:p w14:paraId="1AD120CB" w14:textId="6FE3B821" w:rsidR="00D31FBB" w:rsidRPr="00A92CED" w:rsidRDefault="00D31FBB" w:rsidP="002B1331">
            <w:pPr>
              <w:rPr>
                <w:rFonts w:ascii="Calibri" w:hAnsi="Calibri" w:cs="Calibri"/>
                <w:b/>
                <w:bCs/>
                <w:lang w:val="fr-CA"/>
              </w:rPr>
            </w:pPr>
            <w:r w:rsidRPr="00A92CED">
              <w:rPr>
                <w:rFonts w:ascii="Calibri" w:hAnsi="Calibri" w:cs="Calibri"/>
                <w:b/>
                <w:bCs/>
                <w:lang w:val="fr-CA"/>
              </w:rPr>
              <w:t>NOUVEAU</w:t>
            </w:r>
          </w:p>
        </w:tc>
        <w:tc>
          <w:tcPr>
            <w:tcW w:w="4076" w:type="dxa"/>
          </w:tcPr>
          <w:p w14:paraId="277DF99C" w14:textId="44B2C919" w:rsidR="00D31FBB" w:rsidRPr="00A92CED" w:rsidRDefault="00D31FBB" w:rsidP="002B1331">
            <w:pPr>
              <w:rPr>
                <w:rFonts w:cstheme="minorHAnsi"/>
                <w:lang w:val="fr-CA"/>
              </w:rPr>
            </w:pPr>
            <w:r w:rsidRPr="00A92CED">
              <w:rPr>
                <w:lang w:val="fr-CA"/>
              </w:rPr>
              <w:t xml:space="preserve">Ajouter à la Section 2 de la Partie 14 une exigence selon laquelle un utilisateur doit s’assurer que tout emballage ou contenant qui a été utilisé pour des explosifs de type C.3, P.1 ou P.2 n’est pas réutilisé à moins que </w:t>
            </w:r>
            <w:r w:rsidRPr="00A92CED">
              <w:rPr>
                <w:rFonts w:cstheme="minorHAnsi"/>
                <w:lang w:val="fr-CA"/>
              </w:rPr>
              <w:t xml:space="preserve">: </w:t>
            </w:r>
          </w:p>
          <w:p w14:paraId="26DDACE4"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La classification aux fins du transport des explosifs de type </w:t>
            </w:r>
            <w:r w:rsidRPr="00A92CED">
              <w:rPr>
                <w:lang w:val="fr-CA"/>
              </w:rPr>
              <w:t xml:space="preserve">C.3, P.1 ou P.2 </w:t>
            </w:r>
            <w:r w:rsidRPr="00A92CED">
              <w:rPr>
                <w:rFonts w:cstheme="minorHAnsi"/>
                <w:lang w:val="fr-CA"/>
              </w:rPr>
              <w:t>reste inchangée;</w:t>
            </w:r>
          </w:p>
          <w:p w14:paraId="213E6ACA"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Les explosifs de type </w:t>
            </w:r>
            <w:r w:rsidRPr="00A92CED">
              <w:rPr>
                <w:lang w:val="fr-CA"/>
              </w:rPr>
              <w:t xml:space="preserve">C.3, P.1 ou P.2 </w:t>
            </w:r>
            <w:r w:rsidRPr="00A92CED">
              <w:rPr>
                <w:rFonts w:cstheme="minorHAnsi"/>
                <w:lang w:val="fr-CA"/>
              </w:rPr>
              <w:t>sont disposés dans l’emballage ou le contenant de manière à réduire au minimum leur mouvement pendant le transport;</w:t>
            </w:r>
          </w:p>
          <w:p w14:paraId="7293978E"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L’emballage ou le contenant est fermé pour le transport de la même manière que lors de sa première utilisation;</w:t>
            </w:r>
          </w:p>
          <w:p w14:paraId="232A0A10"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La masse des explosifs de type </w:t>
            </w:r>
            <w:r w:rsidRPr="00A92CED">
              <w:rPr>
                <w:lang w:val="fr-CA"/>
              </w:rPr>
              <w:t>C.3, P.1 ou P.2</w:t>
            </w:r>
            <w:r w:rsidRPr="00A92CED">
              <w:rPr>
                <w:rFonts w:cstheme="minorHAnsi"/>
                <w:lang w:val="fr-CA"/>
              </w:rPr>
              <w:t xml:space="preserve"> est égale ou inférieure à </w:t>
            </w:r>
            <w:r w:rsidRPr="00A92CED">
              <w:rPr>
                <w:rFonts w:cstheme="minorHAnsi"/>
                <w:lang w:val="fr-CA"/>
              </w:rPr>
              <w:lastRenderedPageBreak/>
              <w:t>la masse des explosifs lors de la première utilisation de l’emballage ou du contenant;</w:t>
            </w:r>
          </w:p>
          <w:p w14:paraId="63E3CC8F" w14:textId="1ED0DBCF" w:rsidR="00D31FBB" w:rsidRPr="00A92CED" w:rsidRDefault="00D31FBB" w:rsidP="002B1331">
            <w:pPr>
              <w:pStyle w:val="ListParagraph"/>
              <w:numPr>
                <w:ilvl w:val="0"/>
                <w:numId w:val="27"/>
              </w:numPr>
              <w:ind w:left="714" w:hanging="357"/>
              <w:contextualSpacing w:val="0"/>
              <w:rPr>
                <w:rFonts w:cstheme="minorHAnsi"/>
                <w:lang w:val="fr-CA"/>
              </w:rPr>
            </w:pPr>
            <w:r w:rsidRPr="00A92CED">
              <w:rPr>
                <w:rFonts w:cstheme="minorHAnsi"/>
                <w:lang w:val="fr-CA"/>
              </w:rPr>
              <w:t>L’emballage ou le contenant ne présente aucun signe de dommage, de contamination ou de réduction de sa robustesse.</w:t>
            </w:r>
          </w:p>
        </w:tc>
        <w:tc>
          <w:tcPr>
            <w:tcW w:w="3143" w:type="dxa"/>
            <w:gridSpan w:val="2"/>
          </w:tcPr>
          <w:p w14:paraId="790A61AE" w14:textId="2826E33C" w:rsidR="00D31FBB" w:rsidRPr="00A92CED" w:rsidRDefault="00D31FBB" w:rsidP="002B1331">
            <w:pPr>
              <w:rPr>
                <w:rFonts w:cstheme="minorHAnsi"/>
                <w:lang w:val="fr-CA"/>
              </w:rPr>
            </w:pPr>
            <w:r w:rsidRPr="00A92CED">
              <w:rPr>
                <w:rFonts w:cstheme="minorHAnsi"/>
                <w:lang w:val="fr-CA"/>
              </w:rPr>
              <w:lastRenderedPageBreak/>
              <w:t>Les exigences relatives à la réutilisation des emballages d’explosifs étaient contenues auparavant dans la norme sur l’emballage de Transports Canada (CGSB-43.151) du Règlement sur le TMD.</w:t>
            </w:r>
          </w:p>
          <w:p w14:paraId="1E524181" w14:textId="77777777" w:rsidR="00D31FBB" w:rsidRPr="00A92CED" w:rsidRDefault="00D31FBB" w:rsidP="002B1331">
            <w:pPr>
              <w:rPr>
                <w:rFonts w:cstheme="minorHAnsi"/>
                <w:lang w:val="fr-CA"/>
              </w:rPr>
            </w:pPr>
          </w:p>
          <w:p w14:paraId="54FCA313" w14:textId="486498E9" w:rsidR="00D31FBB" w:rsidRPr="00A92CED" w:rsidRDefault="00D31FBB" w:rsidP="002B1331">
            <w:pPr>
              <w:rPr>
                <w:rFonts w:cstheme="minorHAnsi"/>
                <w:lang w:val="fr-CA"/>
              </w:rPr>
            </w:pPr>
            <w:r w:rsidRPr="00A92CED">
              <w:rPr>
                <w:rFonts w:cstheme="minorHAnsi"/>
                <w:lang w:val="fr-CA"/>
              </w:rPr>
              <w:t xml:space="preserve">À la suite de discussions entre Transports Canada et RNCan, il a été convenu de faire de la réglementation des exigences relatives à la réutilisation des emballages d’explosifs la responsabilité de RNCan plutôt que de  TC. Le pouvoir de réglementer cette question est conféré en vertu de l’alinéa 5 </w:t>
            </w:r>
            <w:r w:rsidRPr="00A92CED">
              <w:rPr>
                <w:rFonts w:cstheme="minorHAnsi"/>
                <w:i/>
                <w:iCs/>
                <w:lang w:val="fr-CA"/>
              </w:rPr>
              <w:t>c</w:t>
            </w:r>
            <w:r w:rsidRPr="00A92CED">
              <w:rPr>
                <w:rFonts w:cstheme="minorHAnsi"/>
                <w:lang w:val="fr-CA"/>
              </w:rPr>
              <w:t xml:space="preserve">) de la </w:t>
            </w:r>
            <w:r w:rsidRPr="00A92CED">
              <w:rPr>
                <w:rFonts w:cstheme="minorHAnsi"/>
                <w:i/>
                <w:iCs/>
                <w:lang w:val="fr-CA"/>
              </w:rPr>
              <w:t>Loi sur les explosifs</w:t>
            </w:r>
            <w:r w:rsidRPr="00A92CED">
              <w:rPr>
                <w:rFonts w:cstheme="minorHAnsi"/>
                <w:lang w:val="fr-CA"/>
              </w:rPr>
              <w:t>.</w:t>
            </w:r>
          </w:p>
          <w:p w14:paraId="352B685C" w14:textId="77777777" w:rsidR="00D31FBB" w:rsidRPr="00A92CED" w:rsidRDefault="00D31FBB" w:rsidP="002B1331">
            <w:pPr>
              <w:rPr>
                <w:lang w:val="fr-CA"/>
              </w:rPr>
            </w:pPr>
          </w:p>
        </w:tc>
        <w:tc>
          <w:tcPr>
            <w:tcW w:w="3087" w:type="dxa"/>
          </w:tcPr>
          <w:p w14:paraId="5D4F662A" w14:textId="77777777" w:rsidR="00D31FBB" w:rsidRPr="00A92CED" w:rsidRDefault="00D31FBB" w:rsidP="00EE28BD">
            <w:pPr>
              <w:rPr>
                <w:lang w:val="fr-CA"/>
              </w:rPr>
            </w:pPr>
          </w:p>
        </w:tc>
      </w:tr>
      <w:tr w:rsidR="00A92CED" w:rsidRPr="00A92CED" w14:paraId="114A8B13" w14:textId="41E9105F" w:rsidTr="00F47EB0">
        <w:tc>
          <w:tcPr>
            <w:tcW w:w="17147" w:type="dxa"/>
            <w:gridSpan w:val="6"/>
            <w:shd w:val="clear" w:color="auto" w:fill="D9D9D9" w:themeFill="background1" w:themeFillShade="D9"/>
          </w:tcPr>
          <w:p w14:paraId="2525DA5D" w14:textId="3B38D8DE" w:rsidR="00D31FBB" w:rsidRPr="00A92CED" w:rsidRDefault="00D31FBB" w:rsidP="00D15EFA">
            <w:pPr>
              <w:spacing w:before="60" w:after="60"/>
              <w:jc w:val="center"/>
              <w:rPr>
                <w:rFonts w:ascii="Arial" w:hAnsi="Arial" w:cs="Arial"/>
                <w:b/>
                <w:sz w:val="24"/>
                <w:szCs w:val="24"/>
                <w:lang w:val="fr-CA"/>
              </w:rPr>
            </w:pPr>
            <w:r w:rsidRPr="00A92CED">
              <w:rPr>
                <w:rFonts w:ascii="Arial" w:hAnsi="Arial" w:cs="Arial"/>
                <w:b/>
                <w:sz w:val="24"/>
                <w:szCs w:val="24"/>
                <w:lang w:val="fr-CA"/>
              </w:rPr>
              <w:t>PARTIE 15 – Moteurs de fusée miniature et moteurs de fusée haute puissance</w:t>
            </w:r>
          </w:p>
        </w:tc>
      </w:tr>
      <w:tr w:rsidR="00A92CED" w:rsidRPr="00A92CED" w14:paraId="12BBFFA8" w14:textId="3836F10F" w:rsidTr="00E10233">
        <w:tc>
          <w:tcPr>
            <w:tcW w:w="3126" w:type="dxa"/>
          </w:tcPr>
          <w:p w14:paraId="4C433730" w14:textId="77777777" w:rsidR="00D31FBB" w:rsidRPr="00A92CED" w:rsidRDefault="00D31FBB" w:rsidP="00D15EFA">
            <w:pPr>
              <w:pStyle w:val="ListParagraph"/>
              <w:numPr>
                <w:ilvl w:val="0"/>
                <w:numId w:val="1"/>
              </w:numPr>
              <w:jc w:val="center"/>
              <w:rPr>
                <w:lang w:val="fr-CA"/>
              </w:rPr>
            </w:pPr>
          </w:p>
        </w:tc>
        <w:tc>
          <w:tcPr>
            <w:tcW w:w="3715" w:type="dxa"/>
          </w:tcPr>
          <w:p w14:paraId="49A8F92A" w14:textId="1848D5C1" w:rsidR="00D31FBB" w:rsidRPr="00A92CED" w:rsidRDefault="00D31FBB" w:rsidP="00D15EFA">
            <w:pPr>
              <w:rPr>
                <w:rFonts w:ascii="Calibri" w:hAnsi="Calibri" w:cs="Calibri"/>
                <w:b/>
                <w:lang w:val="fr-CA"/>
              </w:rPr>
            </w:pPr>
            <w:r w:rsidRPr="00A92CED">
              <w:rPr>
                <w:rFonts w:ascii="Calibri" w:hAnsi="Calibri" w:cs="Calibri"/>
                <w:b/>
                <w:bCs/>
                <w:lang w:val="fr-CA"/>
              </w:rPr>
              <w:t xml:space="preserve">306 </w:t>
            </w:r>
            <w:r w:rsidRPr="00A92CED">
              <w:rPr>
                <w:rFonts w:ascii="Calibri" w:hAnsi="Calibri" w:cs="Calibri"/>
                <w:lang w:val="fr-CA"/>
              </w:rPr>
              <w:t>La présente partie autorise l’acquisition, le stockage et la vente des moteurs de fusée, des trousses de rechargement et des allumeurs. La section 1 prévoit les règles visant les vendeurs et les utilisateurs de moteurs de fusée miniature (type R.1), des trousses de rechargement pour</w:t>
            </w:r>
            <w:r w:rsidRPr="00A92CED">
              <w:rPr>
                <w:rFonts w:ascii="Calibri" w:hAnsi="Calibri" w:cs="Calibri"/>
                <w:lang w:val="fr-CA"/>
              </w:rPr>
              <w:br/>
              <w:t>moteurs de fusée miniature (type R.1) et des allumeurs qui sont utilisés pour mettre à feu des moteurs de fusée miniature (type R.3). La section 2 prévoit les règles visant les vendeurs et les utilisateurs de moteurs de fusée haute</w:t>
            </w:r>
            <w:r w:rsidRPr="00A92CED">
              <w:rPr>
                <w:rFonts w:ascii="Calibri" w:hAnsi="Calibri" w:cs="Calibri"/>
                <w:lang w:val="fr-CA"/>
              </w:rPr>
              <w:br/>
              <w:t>puissance (type R.2), des trousses de rechargement pour moteurs de fusée haute puissance (type R.2) et des allumeurs qui sont utilisés pour mettre à feu des moteurs de fusée haute puissance (type R.3).</w:t>
            </w:r>
          </w:p>
        </w:tc>
        <w:tc>
          <w:tcPr>
            <w:tcW w:w="4076" w:type="dxa"/>
          </w:tcPr>
          <w:p w14:paraId="5F5FCB74" w14:textId="67DF3771" w:rsidR="00D31FBB" w:rsidRPr="00A92CED" w:rsidRDefault="00D31FBB" w:rsidP="00D15EFA">
            <w:pPr>
              <w:rPr>
                <w:rFonts w:ascii="Calibri" w:eastAsia="Calibri" w:hAnsi="Calibri" w:cs="Calibri"/>
                <w:lang w:val="fr-CA"/>
              </w:rPr>
            </w:pPr>
            <w:r w:rsidRPr="00A92CED">
              <w:rPr>
                <w:rFonts w:ascii="Calibri" w:eastAsia="Calibri" w:hAnsi="Calibri" w:cs="Calibri"/>
                <w:lang w:val="fr-CA"/>
              </w:rPr>
              <w:t>Modifier l’article 306 pour ajouter que :</w:t>
            </w:r>
          </w:p>
          <w:p w14:paraId="726B9A18" w14:textId="55523DF8" w:rsidR="00D31FBB" w:rsidRPr="00A92CED" w:rsidRDefault="00D31FBB" w:rsidP="00D15EFA">
            <w:pPr>
              <w:rPr>
                <w:lang w:val="fr-CA"/>
              </w:rPr>
            </w:pPr>
            <w:r w:rsidRPr="00A92CED">
              <w:rPr>
                <w:rFonts w:ascii="Calibri" w:eastAsia="Calibri" w:hAnsi="Calibri" w:cs="Calibri"/>
                <w:lang w:val="fr-CA"/>
              </w:rPr>
              <w:t>La section 3 prévoit les règles visant les vendeurs et les utilisateurs de moteurs de fusée haute puissance avancés (type R.4), des trousses de rechargement pour moteurs de fusée haute puissance avancés (type R.4) et des allumeurs qui sont utilisés pour mettre à feu des moteurs de fusée haute puissance avancés (type R.3).</w:t>
            </w:r>
          </w:p>
        </w:tc>
        <w:tc>
          <w:tcPr>
            <w:tcW w:w="3143" w:type="dxa"/>
            <w:gridSpan w:val="2"/>
          </w:tcPr>
          <w:p w14:paraId="250382C1" w14:textId="59BE3618" w:rsidR="00D31FBB" w:rsidRPr="00A92CED" w:rsidRDefault="00D31FBB" w:rsidP="00D15EFA">
            <w:pPr>
              <w:rPr>
                <w:lang w:val="fr-CA"/>
              </w:rPr>
            </w:pPr>
            <w:r w:rsidRPr="00A92CED">
              <w:rPr>
                <w:lang w:val="fr-CA"/>
              </w:rPr>
              <w:t>Cet amendement proposé vise à appuyer l’ajout d’une nouvelle section 3 à la partie 15 pour prévoir les exigences applicables aux moteurs de fusée haute puissance avancés.</w:t>
            </w:r>
          </w:p>
        </w:tc>
        <w:tc>
          <w:tcPr>
            <w:tcW w:w="3087" w:type="dxa"/>
          </w:tcPr>
          <w:p w14:paraId="2ECAAD08" w14:textId="77777777" w:rsidR="00D31FBB" w:rsidRPr="00A92CED" w:rsidRDefault="00D31FBB" w:rsidP="00D15EFA">
            <w:pPr>
              <w:rPr>
                <w:lang w:val="fr-CA"/>
              </w:rPr>
            </w:pPr>
          </w:p>
        </w:tc>
      </w:tr>
      <w:tr w:rsidR="00A92CED" w:rsidRPr="00A92CED" w14:paraId="51CA3B72" w14:textId="77777777" w:rsidTr="00E10233">
        <w:tc>
          <w:tcPr>
            <w:tcW w:w="3126" w:type="dxa"/>
          </w:tcPr>
          <w:p w14:paraId="4AC2F93C" w14:textId="77777777" w:rsidR="00D31FBB" w:rsidRPr="00A92CED" w:rsidRDefault="00D31FBB" w:rsidP="00D15EFA">
            <w:pPr>
              <w:pStyle w:val="ListParagraph"/>
              <w:numPr>
                <w:ilvl w:val="0"/>
                <w:numId w:val="1"/>
              </w:numPr>
              <w:jc w:val="center"/>
              <w:rPr>
                <w:lang w:val="fr-CA"/>
              </w:rPr>
            </w:pPr>
          </w:p>
        </w:tc>
        <w:tc>
          <w:tcPr>
            <w:tcW w:w="3715" w:type="dxa"/>
          </w:tcPr>
          <w:p w14:paraId="34E0443F" w14:textId="0FE4C820" w:rsidR="00D31FBB" w:rsidRPr="00A92CED" w:rsidRDefault="00D31FBB" w:rsidP="00D15EFA">
            <w:pPr>
              <w:rPr>
                <w:rFonts w:ascii="Calibri" w:hAnsi="Calibri" w:cs="Calibri"/>
                <w:b/>
                <w:bCs/>
                <w:lang w:val="fr-CA"/>
              </w:rPr>
            </w:pPr>
            <w:r w:rsidRPr="00A92CED">
              <w:rPr>
                <w:rFonts w:ascii="Calibri" w:hAnsi="Calibri" w:cs="Calibri"/>
                <w:b/>
                <w:bCs/>
                <w:lang w:val="fr-CA"/>
              </w:rPr>
              <w:t xml:space="preserve">307 </w:t>
            </w:r>
            <w:r w:rsidRPr="00A92CED">
              <w:rPr>
                <w:rFonts w:ascii="Calibri" w:hAnsi="Calibri" w:cs="Calibri"/>
                <w:lang w:val="fr-CA"/>
              </w:rPr>
              <w:t>(1) Les définitions qui suivent s’appliquent à la présente partie.</w:t>
            </w:r>
          </w:p>
        </w:tc>
        <w:tc>
          <w:tcPr>
            <w:tcW w:w="4076" w:type="dxa"/>
          </w:tcPr>
          <w:p w14:paraId="747F49BB" w14:textId="318D49C9" w:rsidR="00D31FBB" w:rsidRPr="00A92CED" w:rsidRDefault="00D31FBB" w:rsidP="00D15EFA">
            <w:pPr>
              <w:rPr>
                <w:rFonts w:ascii="Calibri" w:hAnsi="Calibri" w:cs="Calibri"/>
                <w:lang w:val="fr-CA"/>
              </w:rPr>
            </w:pPr>
            <w:r w:rsidRPr="00A92CED">
              <w:rPr>
                <w:rFonts w:ascii="Calibri" w:hAnsi="Calibri" w:cs="Calibri"/>
                <w:lang w:val="fr-CA"/>
              </w:rPr>
              <w:t>Modifier le paragraphe 307(1) pour ajouter la nouvelle définition ci-après :</w:t>
            </w:r>
          </w:p>
          <w:p w14:paraId="523C8391" w14:textId="77777777" w:rsidR="00D31FBB" w:rsidRPr="00A92CED" w:rsidRDefault="00D31FBB" w:rsidP="00D15EFA">
            <w:pPr>
              <w:rPr>
                <w:rFonts w:ascii="Calibri" w:hAnsi="Calibri" w:cs="Calibri"/>
                <w:lang w:val="fr-CA"/>
              </w:rPr>
            </w:pPr>
          </w:p>
          <w:p w14:paraId="1AA6E960" w14:textId="708775F6" w:rsidR="00D31FBB" w:rsidRPr="00A92CED" w:rsidRDefault="00D31FBB" w:rsidP="00D15EFA">
            <w:pPr>
              <w:rPr>
                <w:lang w:val="fr-CA"/>
              </w:rPr>
            </w:pPr>
            <w:r w:rsidRPr="00A92CED">
              <w:rPr>
                <w:rFonts w:ascii="Calibri" w:hAnsi="Calibri" w:cs="Calibri"/>
                <w:b/>
                <w:bCs/>
                <w:i/>
                <w:iCs/>
                <w:lang w:val="fr-CA"/>
              </w:rPr>
              <w:lastRenderedPageBreak/>
              <w:t xml:space="preserve">moteur de fusée haute puissance avancé </w:t>
            </w:r>
            <w:r w:rsidRPr="00A92CED">
              <w:rPr>
                <w:rFonts w:ascii="Calibri" w:hAnsi="Calibri" w:cs="Calibri"/>
                <w:lang w:val="fr-CA"/>
              </w:rPr>
              <w:t>Moteur de fusée récréative dont l’impulsion, produite par la combustion de propergol solide, est de plus de 40 960 newton-secondes et d’au plus 889 600 newton-secondes.</w:t>
            </w:r>
            <w:r w:rsidRPr="00A92CED">
              <w:rPr>
                <w:rFonts w:ascii="Calibri" w:eastAsia="Calibri" w:hAnsi="Calibri" w:cs="Calibri"/>
                <w:lang w:val="fr-CA"/>
              </w:rPr>
              <w:t xml:space="preserve"> (</w:t>
            </w:r>
            <w:r w:rsidRPr="00A92CED">
              <w:rPr>
                <w:rFonts w:ascii="Calibri" w:hAnsi="Calibri" w:cs="Calibri"/>
                <w:i/>
                <w:iCs/>
                <w:lang w:val="fr-CA"/>
              </w:rPr>
              <w:t>advanced high-power rocket motor</w:t>
            </w:r>
            <w:r w:rsidRPr="00A92CED">
              <w:rPr>
                <w:rFonts w:eastAsiaTheme="minorEastAsia"/>
                <w:lang w:val="fr-CA"/>
              </w:rPr>
              <w:t>)</w:t>
            </w:r>
          </w:p>
        </w:tc>
        <w:tc>
          <w:tcPr>
            <w:tcW w:w="3143" w:type="dxa"/>
            <w:gridSpan w:val="2"/>
          </w:tcPr>
          <w:p w14:paraId="1053BC1A" w14:textId="09E0D7C1" w:rsidR="00D31FBB" w:rsidRPr="00A92CED" w:rsidRDefault="00D31FBB" w:rsidP="00D15EFA">
            <w:pPr>
              <w:rPr>
                <w:lang w:val="fr-CA"/>
              </w:rPr>
            </w:pPr>
            <w:r w:rsidRPr="00A92CED">
              <w:rPr>
                <w:lang w:val="fr-CA"/>
              </w:rPr>
              <w:lastRenderedPageBreak/>
              <w:t xml:space="preserve">Cet amendement proposé vise à harmoniser les exigences canadiennes avec les exigences </w:t>
            </w:r>
            <w:r w:rsidRPr="00A92CED">
              <w:rPr>
                <w:lang w:val="fr-CA"/>
              </w:rPr>
              <w:lastRenderedPageBreak/>
              <w:t>américaines et à permettre aux clubs universitaires canadiens de fuséologie d’expérimenter et de participer à des compétitions de fuséologie avec des moteurs de fusée haute puissance avancés au Canada.</w:t>
            </w:r>
          </w:p>
        </w:tc>
        <w:tc>
          <w:tcPr>
            <w:tcW w:w="3087" w:type="dxa"/>
          </w:tcPr>
          <w:p w14:paraId="7763FC12" w14:textId="77777777" w:rsidR="00D31FBB" w:rsidRPr="00A92CED" w:rsidRDefault="00D31FBB" w:rsidP="00D15EFA">
            <w:pPr>
              <w:rPr>
                <w:lang w:val="fr-CA"/>
              </w:rPr>
            </w:pPr>
          </w:p>
        </w:tc>
      </w:tr>
      <w:tr w:rsidR="00A92CED" w:rsidRPr="00A92CED" w14:paraId="57D6C755" w14:textId="77777777" w:rsidTr="00813ADA">
        <w:tc>
          <w:tcPr>
            <w:tcW w:w="17147" w:type="dxa"/>
            <w:gridSpan w:val="6"/>
            <w:shd w:val="clear" w:color="auto" w:fill="F2F2F2" w:themeFill="background1" w:themeFillShade="F2"/>
          </w:tcPr>
          <w:p w14:paraId="0D823924" w14:textId="7354CC31" w:rsidR="00D31FBB" w:rsidRPr="00A92CED" w:rsidRDefault="00D31FBB" w:rsidP="00813ADA">
            <w:pPr>
              <w:spacing w:before="60" w:after="60"/>
              <w:jc w:val="center"/>
              <w:rPr>
                <w:rFonts w:ascii="Arial" w:hAnsi="Arial" w:cs="Arial"/>
                <w:sz w:val="24"/>
                <w:szCs w:val="24"/>
                <w:lang w:val="fr-CA"/>
              </w:rPr>
            </w:pPr>
            <w:r w:rsidRPr="00A92CED">
              <w:rPr>
                <w:rFonts w:ascii="Arial" w:hAnsi="Arial" w:cs="Arial"/>
                <w:sz w:val="24"/>
                <w:szCs w:val="24"/>
                <w:lang w:val="fr-CA"/>
              </w:rPr>
              <w:t>Section 1 : Moteurs de fusée miniature</w:t>
            </w:r>
          </w:p>
        </w:tc>
      </w:tr>
      <w:tr w:rsidR="00A92CED" w:rsidRPr="00A92CED" w14:paraId="29BD93B8" w14:textId="77777777" w:rsidTr="00E10233">
        <w:tc>
          <w:tcPr>
            <w:tcW w:w="3126" w:type="dxa"/>
          </w:tcPr>
          <w:p w14:paraId="631FA892" w14:textId="77777777" w:rsidR="00D31FBB" w:rsidRPr="00A92CED" w:rsidRDefault="00D31FBB" w:rsidP="008E3D8A">
            <w:pPr>
              <w:pStyle w:val="ListParagraph"/>
              <w:numPr>
                <w:ilvl w:val="0"/>
                <w:numId w:val="1"/>
              </w:numPr>
              <w:jc w:val="center"/>
              <w:rPr>
                <w:lang w:val="fr-CA"/>
              </w:rPr>
            </w:pPr>
          </w:p>
        </w:tc>
        <w:tc>
          <w:tcPr>
            <w:tcW w:w="3715" w:type="dxa"/>
          </w:tcPr>
          <w:p w14:paraId="5092E39F" w14:textId="51E90FF7" w:rsidR="00D31FBB" w:rsidRPr="00A92CED" w:rsidRDefault="00D31FBB" w:rsidP="002B1331">
            <w:pPr>
              <w:rPr>
                <w:rFonts w:ascii="Calibri" w:hAnsi="Calibri" w:cs="Calibri"/>
                <w:b/>
                <w:bCs/>
                <w:lang w:val="fr-CA"/>
              </w:rPr>
            </w:pPr>
            <w:r w:rsidRPr="00A92CED">
              <w:rPr>
                <w:rFonts w:ascii="Calibri" w:hAnsi="Calibri" w:cs="Calibri"/>
                <w:b/>
                <w:bCs/>
                <w:lang w:val="fr-CA"/>
              </w:rPr>
              <w:t xml:space="preserve">311 </w:t>
            </w:r>
            <w:r w:rsidRPr="00A92CED">
              <w:rPr>
                <w:rFonts w:ascii="Calibri" w:hAnsi="Calibri" w:cs="Calibri"/>
                <w:lang w:val="fr-CA"/>
              </w:rPr>
              <w:t>(1) Le vendeur qui est titulaire d’une licence stocke ses moteurs de fusée, ses trousses de rechargement et ses allumeurs dans la poudrière mentionnée dans sa licence.</w:t>
            </w:r>
          </w:p>
        </w:tc>
        <w:tc>
          <w:tcPr>
            <w:tcW w:w="4076" w:type="dxa"/>
          </w:tcPr>
          <w:p w14:paraId="2E332AE5" w14:textId="405CBB3C" w:rsidR="00D31FBB" w:rsidRPr="00A92CED" w:rsidRDefault="00D31FBB" w:rsidP="002B1331">
            <w:pPr>
              <w:rPr>
                <w:rFonts w:ascii="Calibri" w:hAnsi="Calibri" w:cs="Calibri"/>
                <w:lang w:val="fr-CA"/>
              </w:rPr>
            </w:pPr>
            <w:r w:rsidRPr="00A92CED">
              <w:rPr>
                <w:bCs/>
                <w:lang w:val="fr-CA"/>
              </w:rPr>
              <w:t xml:space="preserve">Modifier le paragraphe 243(1) pour préciser qu’un vendeur qui est titulaire d’une licence doit stocker ses </w:t>
            </w:r>
            <w:r w:rsidRPr="00A92CED">
              <w:rPr>
                <w:rFonts w:ascii="Calibri" w:hAnsi="Calibri" w:cs="Calibri"/>
                <w:lang w:val="fr-CA"/>
              </w:rPr>
              <w:t>moteurs de fusée, ses trousses de rechargement et ses allumeurs</w:t>
            </w:r>
            <w:r w:rsidRPr="00A92CED">
              <w:rPr>
                <w:bCs/>
                <w:lang w:val="fr-CA"/>
              </w:rPr>
              <w:t xml:space="preserve"> dans la poudrière mentionnée dans sa licence et s’assurer que les exigences des articles 312 et 313 sont respectées</w:t>
            </w:r>
            <w:r w:rsidRPr="00A92CED">
              <w:rPr>
                <w:rFonts w:ascii="Calibri" w:hAnsi="Calibri" w:cs="Calibri"/>
                <w:lang w:val="fr-CA"/>
              </w:rPr>
              <w:t xml:space="preserve">.  </w:t>
            </w:r>
          </w:p>
        </w:tc>
        <w:tc>
          <w:tcPr>
            <w:tcW w:w="3143" w:type="dxa"/>
            <w:gridSpan w:val="2"/>
          </w:tcPr>
          <w:p w14:paraId="7C016EC0" w14:textId="26A571C5" w:rsidR="00D31FBB" w:rsidRPr="00A92CED" w:rsidRDefault="00D31FBB" w:rsidP="002B1331">
            <w:pPr>
              <w:rPr>
                <w:lang w:val="fr-CA"/>
              </w:rPr>
            </w:pPr>
            <w:r w:rsidRPr="00A92CED">
              <w:rPr>
                <w:lang w:val="fr-CA"/>
              </w:rPr>
              <w:t>À l’heure actuelle, les exigences des articles 312 et 313 ne s’appliquent qu’aux détaillants non titulaires d’une licence et non aux vendeurs titulaires d’une licence. Cette modification proposée comblerait cette lacune en faisant en sorte que les exigences des articles 312 et 313 s’appliquent également aux vendeurs titulaires d’une licence.</w:t>
            </w:r>
          </w:p>
        </w:tc>
        <w:tc>
          <w:tcPr>
            <w:tcW w:w="3087" w:type="dxa"/>
          </w:tcPr>
          <w:p w14:paraId="5E02BA9A" w14:textId="77777777" w:rsidR="00D31FBB" w:rsidRPr="00A92CED" w:rsidRDefault="00D31FBB" w:rsidP="008E3D8A">
            <w:pPr>
              <w:rPr>
                <w:lang w:val="fr-CA"/>
              </w:rPr>
            </w:pPr>
          </w:p>
        </w:tc>
      </w:tr>
      <w:tr w:rsidR="00A92CED" w:rsidRPr="00A92CED" w14:paraId="1AD5158B" w14:textId="77777777" w:rsidTr="00E10233">
        <w:tc>
          <w:tcPr>
            <w:tcW w:w="3126" w:type="dxa"/>
          </w:tcPr>
          <w:p w14:paraId="51DC2E4B" w14:textId="77777777" w:rsidR="00D31FBB" w:rsidRPr="00A92CED" w:rsidRDefault="00D31FBB" w:rsidP="008E3D8A">
            <w:pPr>
              <w:pStyle w:val="ListParagraph"/>
              <w:numPr>
                <w:ilvl w:val="0"/>
                <w:numId w:val="1"/>
              </w:numPr>
              <w:jc w:val="center"/>
              <w:rPr>
                <w:lang w:val="fr-CA"/>
              </w:rPr>
            </w:pPr>
          </w:p>
        </w:tc>
        <w:tc>
          <w:tcPr>
            <w:tcW w:w="3715" w:type="dxa"/>
          </w:tcPr>
          <w:p w14:paraId="06E8CB71" w14:textId="1B3F15C9" w:rsidR="00D31FBB" w:rsidRPr="00A92CED" w:rsidRDefault="00D31FBB" w:rsidP="002B1331">
            <w:pPr>
              <w:rPr>
                <w:rFonts w:ascii="Calibri" w:hAnsi="Calibri" w:cs="Calibri"/>
                <w:b/>
                <w:bCs/>
                <w:lang w:val="fr-CA"/>
              </w:rPr>
            </w:pPr>
            <w:r w:rsidRPr="00A92CED">
              <w:rPr>
                <w:rFonts w:ascii="Calibri" w:hAnsi="Calibri" w:cs="Calibri"/>
                <w:b/>
                <w:bCs/>
                <w:lang w:val="fr-CA"/>
              </w:rPr>
              <w:t>NOUVEAU</w:t>
            </w:r>
          </w:p>
        </w:tc>
        <w:tc>
          <w:tcPr>
            <w:tcW w:w="4076" w:type="dxa"/>
          </w:tcPr>
          <w:p w14:paraId="7753B143" w14:textId="0A4473E9" w:rsidR="00D31FBB" w:rsidRPr="00A92CED" w:rsidRDefault="00D31FBB" w:rsidP="002B1331">
            <w:pPr>
              <w:rPr>
                <w:rFonts w:cstheme="minorHAnsi"/>
                <w:lang w:val="fr-CA"/>
              </w:rPr>
            </w:pPr>
            <w:r w:rsidRPr="00A92CED">
              <w:rPr>
                <w:lang w:val="fr-CA"/>
              </w:rPr>
              <w:t xml:space="preserve">Ajouter à la Section 1 de la Partie 15 une exigence selon laquelle un vendeur doit s’assurer que tout emballage ou contenant qui a été utilisé pour des explosifs de type R.1 ou R.3 n’est pas réutilisé à moins que </w:t>
            </w:r>
            <w:r w:rsidRPr="00A92CED">
              <w:rPr>
                <w:rFonts w:cstheme="minorHAnsi"/>
                <w:lang w:val="fr-CA"/>
              </w:rPr>
              <w:t xml:space="preserve">: </w:t>
            </w:r>
          </w:p>
          <w:p w14:paraId="60C445D9" w14:textId="4EF9EFF9"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La classification aux fins du transport des explosifs de type </w:t>
            </w:r>
            <w:r w:rsidRPr="00A92CED">
              <w:rPr>
                <w:lang w:val="fr-CA"/>
              </w:rPr>
              <w:t xml:space="preserve">R.1 ou R.3 </w:t>
            </w:r>
            <w:r w:rsidRPr="00A92CED">
              <w:rPr>
                <w:rFonts w:cstheme="minorHAnsi"/>
                <w:lang w:val="fr-CA"/>
              </w:rPr>
              <w:t>reste inchangée;</w:t>
            </w:r>
          </w:p>
          <w:p w14:paraId="64B883C0" w14:textId="32D2289A"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Les explosifs de type </w:t>
            </w:r>
            <w:r w:rsidRPr="00A92CED">
              <w:rPr>
                <w:lang w:val="fr-CA"/>
              </w:rPr>
              <w:t xml:space="preserve">R.1 ou R.3 </w:t>
            </w:r>
            <w:r w:rsidRPr="00A92CED">
              <w:rPr>
                <w:rFonts w:cstheme="minorHAnsi"/>
                <w:lang w:val="fr-CA"/>
              </w:rPr>
              <w:t xml:space="preserve">sont disposés dans l’emballage ou le contenant de manière à réduire </w:t>
            </w:r>
            <w:r w:rsidRPr="00A92CED">
              <w:rPr>
                <w:rFonts w:cstheme="minorHAnsi"/>
                <w:lang w:val="fr-CA"/>
              </w:rPr>
              <w:lastRenderedPageBreak/>
              <w:t>au minimum leur mouvement pendant le transport;</w:t>
            </w:r>
          </w:p>
          <w:p w14:paraId="15A34880" w14:textId="604E182C"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L’emballage ou le contenant est fermé pour le transport de la même manière que lors de sa première utilisation;</w:t>
            </w:r>
          </w:p>
          <w:p w14:paraId="680B2C95" w14:textId="4C428E81"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La masse des explosifs de type </w:t>
            </w:r>
            <w:r w:rsidRPr="00A92CED">
              <w:rPr>
                <w:lang w:val="fr-CA"/>
              </w:rPr>
              <w:t>R.1 ou R.3</w:t>
            </w:r>
            <w:r w:rsidRPr="00A92CED">
              <w:rPr>
                <w:rFonts w:cstheme="minorHAnsi"/>
                <w:lang w:val="fr-CA"/>
              </w:rPr>
              <w:t xml:space="preserve"> est égale ou inférieure à la masse des explosifs lors de la première utilisation de l’emballage ou du contenant;</w:t>
            </w:r>
          </w:p>
          <w:p w14:paraId="2BD15983" w14:textId="23C2996D" w:rsidR="00D31FBB" w:rsidRPr="00A92CED" w:rsidRDefault="00D31FBB" w:rsidP="002B1331">
            <w:pPr>
              <w:pStyle w:val="ListParagraph"/>
              <w:numPr>
                <w:ilvl w:val="0"/>
                <w:numId w:val="27"/>
              </w:numPr>
              <w:ind w:left="714" w:hanging="357"/>
              <w:contextualSpacing w:val="0"/>
              <w:rPr>
                <w:rFonts w:cstheme="minorHAnsi"/>
                <w:lang w:val="fr-CA"/>
              </w:rPr>
            </w:pPr>
            <w:r w:rsidRPr="00A92CED">
              <w:rPr>
                <w:rFonts w:cstheme="minorHAnsi"/>
                <w:lang w:val="fr-CA"/>
              </w:rPr>
              <w:t>L’emballage ou le contenant ne présente aucun signe de dommage, de contamination ou de réduction de sa robustesse.</w:t>
            </w:r>
          </w:p>
        </w:tc>
        <w:tc>
          <w:tcPr>
            <w:tcW w:w="3143" w:type="dxa"/>
            <w:gridSpan w:val="2"/>
          </w:tcPr>
          <w:p w14:paraId="0405A73F" w14:textId="1B24E9CA" w:rsidR="00D31FBB" w:rsidRPr="00A92CED" w:rsidRDefault="00D31FBB" w:rsidP="002B1331">
            <w:pPr>
              <w:rPr>
                <w:rFonts w:cstheme="minorHAnsi"/>
                <w:lang w:val="fr-CA"/>
              </w:rPr>
            </w:pPr>
            <w:r w:rsidRPr="00A92CED">
              <w:rPr>
                <w:rFonts w:cstheme="minorHAnsi"/>
                <w:lang w:val="fr-CA"/>
              </w:rPr>
              <w:lastRenderedPageBreak/>
              <w:t>Les exigences relatives à la réutilisation des emballages d’explosifs étaient contenues auparavant dans la norme sur l’emballage de Transports Canada (CGSB-43.151) du Règlement sur le TMD.</w:t>
            </w:r>
          </w:p>
          <w:p w14:paraId="67EDDE0C" w14:textId="77777777" w:rsidR="00D31FBB" w:rsidRPr="00A92CED" w:rsidRDefault="00D31FBB" w:rsidP="002B1331">
            <w:pPr>
              <w:rPr>
                <w:rFonts w:cstheme="minorHAnsi"/>
                <w:lang w:val="fr-CA"/>
              </w:rPr>
            </w:pPr>
          </w:p>
          <w:p w14:paraId="52CAC9E1" w14:textId="353EFB7B" w:rsidR="00D31FBB" w:rsidRPr="00A92CED" w:rsidRDefault="00D31FBB" w:rsidP="002B1331">
            <w:pPr>
              <w:rPr>
                <w:rFonts w:cstheme="minorHAnsi"/>
                <w:lang w:val="fr-CA"/>
              </w:rPr>
            </w:pPr>
            <w:r w:rsidRPr="00A92CED">
              <w:rPr>
                <w:rFonts w:cstheme="minorHAnsi"/>
                <w:lang w:val="fr-CA"/>
              </w:rPr>
              <w:t xml:space="preserve">À la suite de discussions entre Transports Canada et RNCan, il a été convenu de faire de la </w:t>
            </w:r>
            <w:r w:rsidRPr="00A92CED">
              <w:rPr>
                <w:rFonts w:cstheme="minorHAnsi"/>
                <w:lang w:val="fr-CA"/>
              </w:rPr>
              <w:lastRenderedPageBreak/>
              <w:t xml:space="preserve">réglementation des exigences relatives à la réutilisation des emballages d’explosifs la responsabilité de RNCan plutôt que de  TC. Le pouvoir de réglementer cette question est conféré en vertu de l’alinéa 5 </w:t>
            </w:r>
            <w:r w:rsidRPr="00A92CED">
              <w:rPr>
                <w:rFonts w:cstheme="minorHAnsi"/>
                <w:i/>
                <w:iCs/>
                <w:lang w:val="fr-CA"/>
              </w:rPr>
              <w:t>c</w:t>
            </w:r>
            <w:r w:rsidRPr="00A92CED">
              <w:rPr>
                <w:rFonts w:cstheme="minorHAnsi"/>
                <w:lang w:val="fr-CA"/>
              </w:rPr>
              <w:t xml:space="preserve">) de la </w:t>
            </w:r>
            <w:r w:rsidRPr="00A92CED">
              <w:rPr>
                <w:rFonts w:cstheme="minorHAnsi"/>
                <w:i/>
                <w:iCs/>
                <w:lang w:val="fr-CA"/>
              </w:rPr>
              <w:t>Loi sur les explosifs</w:t>
            </w:r>
            <w:r w:rsidRPr="00A92CED">
              <w:rPr>
                <w:rFonts w:cstheme="minorHAnsi"/>
                <w:lang w:val="fr-CA"/>
              </w:rPr>
              <w:t>.</w:t>
            </w:r>
          </w:p>
          <w:p w14:paraId="1963B78E" w14:textId="77777777" w:rsidR="00D31FBB" w:rsidRPr="00A92CED" w:rsidRDefault="00D31FBB" w:rsidP="002B1331">
            <w:pPr>
              <w:rPr>
                <w:lang w:val="fr-CA"/>
              </w:rPr>
            </w:pPr>
          </w:p>
        </w:tc>
        <w:tc>
          <w:tcPr>
            <w:tcW w:w="3087" w:type="dxa"/>
          </w:tcPr>
          <w:p w14:paraId="21858892" w14:textId="77777777" w:rsidR="00D31FBB" w:rsidRPr="00A92CED" w:rsidRDefault="00D31FBB" w:rsidP="008E3D8A">
            <w:pPr>
              <w:rPr>
                <w:lang w:val="fr-CA"/>
              </w:rPr>
            </w:pPr>
          </w:p>
        </w:tc>
      </w:tr>
      <w:tr w:rsidR="00A92CED" w:rsidRPr="00A92CED" w14:paraId="17810932" w14:textId="77777777" w:rsidTr="00E10233">
        <w:tc>
          <w:tcPr>
            <w:tcW w:w="3126" w:type="dxa"/>
          </w:tcPr>
          <w:p w14:paraId="3F045ED2" w14:textId="77777777" w:rsidR="00D31FBB" w:rsidRPr="00A92CED" w:rsidRDefault="00D31FBB" w:rsidP="008E3D8A">
            <w:pPr>
              <w:pStyle w:val="ListParagraph"/>
              <w:numPr>
                <w:ilvl w:val="0"/>
                <w:numId w:val="1"/>
              </w:numPr>
              <w:jc w:val="center"/>
              <w:rPr>
                <w:lang w:val="fr-CA"/>
              </w:rPr>
            </w:pPr>
          </w:p>
        </w:tc>
        <w:tc>
          <w:tcPr>
            <w:tcW w:w="3715" w:type="dxa"/>
          </w:tcPr>
          <w:p w14:paraId="25B66420" w14:textId="6C23FEF2" w:rsidR="00D31FBB" w:rsidRPr="00A92CED" w:rsidRDefault="00D31FBB" w:rsidP="008E3D8A">
            <w:pPr>
              <w:rPr>
                <w:rFonts w:ascii="Calibri" w:hAnsi="Calibri" w:cs="Calibri"/>
                <w:b/>
                <w:bCs/>
                <w:lang w:val="fr-CA"/>
              </w:rPr>
            </w:pPr>
            <w:r w:rsidRPr="00A92CED">
              <w:rPr>
                <w:rFonts w:ascii="Calibri" w:hAnsi="Calibri" w:cs="Calibri"/>
                <w:b/>
                <w:bCs/>
                <w:lang w:val="fr-CA"/>
              </w:rPr>
              <w:t>NOUVEAU</w:t>
            </w:r>
          </w:p>
        </w:tc>
        <w:tc>
          <w:tcPr>
            <w:tcW w:w="4076" w:type="dxa"/>
          </w:tcPr>
          <w:p w14:paraId="2253183D" w14:textId="614B6DE1" w:rsidR="00D31FBB" w:rsidRPr="00A92CED" w:rsidRDefault="00D31FBB" w:rsidP="002B1331">
            <w:pPr>
              <w:rPr>
                <w:rFonts w:cstheme="minorHAnsi"/>
                <w:lang w:val="fr-CA"/>
              </w:rPr>
            </w:pPr>
            <w:r w:rsidRPr="00A92CED">
              <w:rPr>
                <w:lang w:val="fr-CA"/>
              </w:rPr>
              <w:t xml:space="preserve">Ajouter à la Section 1 de la Partie 15 une exigence selon laquelle un utilisateur doit s’assurer que tout emballage ou contenant qui a été utilisé pour des explosifs de type R.1 ou R.3 n’est pas réutilisé à moins que </w:t>
            </w:r>
            <w:r w:rsidRPr="00A92CED">
              <w:rPr>
                <w:rFonts w:cstheme="minorHAnsi"/>
                <w:lang w:val="fr-CA"/>
              </w:rPr>
              <w:t xml:space="preserve">: </w:t>
            </w:r>
          </w:p>
          <w:p w14:paraId="68D5AA4F"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La classification aux fins du transport des explosifs de type </w:t>
            </w:r>
            <w:r w:rsidRPr="00A92CED">
              <w:rPr>
                <w:lang w:val="fr-CA"/>
              </w:rPr>
              <w:t xml:space="preserve">R.1 ou R.3 </w:t>
            </w:r>
            <w:r w:rsidRPr="00A92CED">
              <w:rPr>
                <w:rFonts w:cstheme="minorHAnsi"/>
                <w:lang w:val="fr-CA"/>
              </w:rPr>
              <w:t>reste inchangée;</w:t>
            </w:r>
          </w:p>
          <w:p w14:paraId="67F383D8"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Les explosifs de type </w:t>
            </w:r>
            <w:r w:rsidRPr="00A92CED">
              <w:rPr>
                <w:lang w:val="fr-CA"/>
              </w:rPr>
              <w:t xml:space="preserve">R.1 ou R.3 </w:t>
            </w:r>
            <w:r w:rsidRPr="00A92CED">
              <w:rPr>
                <w:rFonts w:cstheme="minorHAnsi"/>
                <w:lang w:val="fr-CA"/>
              </w:rPr>
              <w:t>sont disposés dans l’emballage ou le contenant de manière à réduire au minimum leur mouvement pendant le transport;</w:t>
            </w:r>
          </w:p>
          <w:p w14:paraId="0415EBEF"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L’emballage ou le contenant est fermé pour le transport de la même manière que lors de sa première utilisation;</w:t>
            </w:r>
          </w:p>
          <w:p w14:paraId="5808E9F8"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lastRenderedPageBreak/>
              <w:t>La masse des explosifs de type </w:t>
            </w:r>
            <w:r w:rsidRPr="00A92CED">
              <w:rPr>
                <w:lang w:val="fr-CA"/>
              </w:rPr>
              <w:t>R.1 ou R.3</w:t>
            </w:r>
            <w:r w:rsidRPr="00A92CED">
              <w:rPr>
                <w:rFonts w:cstheme="minorHAnsi"/>
                <w:lang w:val="fr-CA"/>
              </w:rPr>
              <w:t xml:space="preserve"> est égale ou inférieure à la masse des explosifs lors de la première utilisation de l’emballage ou du contenant;</w:t>
            </w:r>
          </w:p>
          <w:p w14:paraId="612BDE30" w14:textId="6904A722" w:rsidR="00D31FBB" w:rsidRPr="00A92CED" w:rsidRDefault="00D31FBB" w:rsidP="002B1331">
            <w:pPr>
              <w:pStyle w:val="ListParagraph"/>
              <w:numPr>
                <w:ilvl w:val="0"/>
                <w:numId w:val="27"/>
              </w:numPr>
              <w:ind w:left="714" w:hanging="357"/>
              <w:contextualSpacing w:val="0"/>
              <w:rPr>
                <w:rFonts w:cstheme="minorHAnsi"/>
                <w:lang w:val="fr-CA"/>
              </w:rPr>
            </w:pPr>
            <w:r w:rsidRPr="00A92CED">
              <w:rPr>
                <w:rFonts w:cstheme="minorHAnsi"/>
                <w:lang w:val="fr-CA"/>
              </w:rPr>
              <w:t>L’emballage ou le contenant ne présente aucun signe de dommage, de contamination ou de réduction de sa robustesse.</w:t>
            </w:r>
          </w:p>
        </w:tc>
        <w:tc>
          <w:tcPr>
            <w:tcW w:w="3143" w:type="dxa"/>
            <w:gridSpan w:val="2"/>
          </w:tcPr>
          <w:p w14:paraId="7241BEE5" w14:textId="09D6A12E" w:rsidR="00D31FBB" w:rsidRPr="00A92CED" w:rsidRDefault="00D31FBB" w:rsidP="002B1331">
            <w:pPr>
              <w:rPr>
                <w:rFonts w:cstheme="minorHAnsi"/>
                <w:lang w:val="fr-CA"/>
              </w:rPr>
            </w:pPr>
            <w:r w:rsidRPr="00A92CED">
              <w:rPr>
                <w:rFonts w:cstheme="minorHAnsi"/>
                <w:lang w:val="fr-CA"/>
              </w:rPr>
              <w:lastRenderedPageBreak/>
              <w:t>Les exigences relatives à la réutilisation des emballages d’explosifs étaient contenues auparavant dans la norme sur l’emballage de Transports Canada (CGSB-43.151) du Règlement sur le TMD.</w:t>
            </w:r>
          </w:p>
          <w:p w14:paraId="5F4540FD" w14:textId="77777777" w:rsidR="00D31FBB" w:rsidRPr="00A92CED" w:rsidRDefault="00D31FBB" w:rsidP="002B1331">
            <w:pPr>
              <w:rPr>
                <w:rFonts w:cstheme="minorHAnsi"/>
                <w:lang w:val="fr-CA"/>
              </w:rPr>
            </w:pPr>
          </w:p>
          <w:p w14:paraId="68848E80" w14:textId="51FF1D64" w:rsidR="00D31FBB" w:rsidRPr="00A92CED" w:rsidRDefault="00D31FBB" w:rsidP="002B1331">
            <w:pPr>
              <w:rPr>
                <w:rFonts w:cstheme="minorHAnsi"/>
                <w:lang w:val="fr-CA"/>
              </w:rPr>
            </w:pPr>
            <w:r w:rsidRPr="00A92CED">
              <w:rPr>
                <w:rFonts w:cstheme="minorHAnsi"/>
                <w:lang w:val="fr-CA"/>
              </w:rPr>
              <w:t xml:space="preserve">À la suite de discussions entre Transports Canada et RNCan, il a été convenu de faire de la réglementation des exigences relatives à la réutilisation des emballages d’explosifs la responsabilité de RNCan plutôt que de  TC. Le pouvoir de réglementer cette question est </w:t>
            </w:r>
            <w:r w:rsidRPr="00A92CED">
              <w:rPr>
                <w:rFonts w:cstheme="minorHAnsi"/>
                <w:lang w:val="fr-CA"/>
              </w:rPr>
              <w:lastRenderedPageBreak/>
              <w:t xml:space="preserve">conféré en vertu de l’alinéa 5 </w:t>
            </w:r>
            <w:r w:rsidRPr="00A92CED">
              <w:rPr>
                <w:rFonts w:cstheme="minorHAnsi"/>
                <w:i/>
                <w:iCs/>
                <w:lang w:val="fr-CA"/>
              </w:rPr>
              <w:t>c</w:t>
            </w:r>
            <w:r w:rsidRPr="00A92CED">
              <w:rPr>
                <w:rFonts w:cstheme="minorHAnsi"/>
                <w:lang w:val="fr-CA"/>
              </w:rPr>
              <w:t xml:space="preserve">) de la </w:t>
            </w:r>
            <w:r w:rsidRPr="00A92CED">
              <w:rPr>
                <w:rFonts w:cstheme="minorHAnsi"/>
                <w:i/>
                <w:iCs/>
                <w:lang w:val="fr-CA"/>
              </w:rPr>
              <w:t>Loi sur les explosifs</w:t>
            </w:r>
            <w:r w:rsidRPr="00A92CED">
              <w:rPr>
                <w:rFonts w:cstheme="minorHAnsi"/>
                <w:lang w:val="fr-CA"/>
              </w:rPr>
              <w:t>.</w:t>
            </w:r>
          </w:p>
          <w:p w14:paraId="6AF7CAFA" w14:textId="77777777" w:rsidR="00D31FBB" w:rsidRPr="00A92CED" w:rsidRDefault="00D31FBB" w:rsidP="002B1331">
            <w:pPr>
              <w:rPr>
                <w:lang w:val="fr-CA"/>
              </w:rPr>
            </w:pPr>
          </w:p>
        </w:tc>
        <w:tc>
          <w:tcPr>
            <w:tcW w:w="3087" w:type="dxa"/>
          </w:tcPr>
          <w:p w14:paraId="3F32B61B" w14:textId="77777777" w:rsidR="00D31FBB" w:rsidRPr="00A92CED" w:rsidRDefault="00D31FBB" w:rsidP="008E3D8A">
            <w:pPr>
              <w:rPr>
                <w:lang w:val="fr-CA"/>
              </w:rPr>
            </w:pPr>
          </w:p>
        </w:tc>
      </w:tr>
      <w:tr w:rsidR="00A92CED" w:rsidRPr="00A92CED" w14:paraId="7447050F" w14:textId="77777777" w:rsidTr="00813ADA">
        <w:tc>
          <w:tcPr>
            <w:tcW w:w="17147" w:type="dxa"/>
            <w:gridSpan w:val="6"/>
            <w:shd w:val="clear" w:color="auto" w:fill="F2F2F2" w:themeFill="background1" w:themeFillShade="F2"/>
          </w:tcPr>
          <w:p w14:paraId="23B866A8" w14:textId="161E8665" w:rsidR="00D31FBB" w:rsidRPr="00A92CED" w:rsidRDefault="00D31FBB" w:rsidP="00813ADA">
            <w:pPr>
              <w:spacing w:before="60" w:after="60"/>
              <w:jc w:val="center"/>
              <w:rPr>
                <w:lang w:val="fr-CA"/>
              </w:rPr>
            </w:pPr>
            <w:r w:rsidRPr="00A92CED">
              <w:rPr>
                <w:rFonts w:ascii="Arial" w:hAnsi="Arial" w:cs="Arial"/>
                <w:sz w:val="24"/>
                <w:szCs w:val="24"/>
                <w:lang w:val="fr-CA"/>
              </w:rPr>
              <w:t>Section 2 : Moteurs de fusée haute puissance</w:t>
            </w:r>
          </w:p>
        </w:tc>
      </w:tr>
      <w:tr w:rsidR="00A92CED" w:rsidRPr="00A92CED" w14:paraId="4AA93D1C" w14:textId="77777777" w:rsidTr="00E10233">
        <w:tc>
          <w:tcPr>
            <w:tcW w:w="3126" w:type="dxa"/>
          </w:tcPr>
          <w:p w14:paraId="0B61D4EE" w14:textId="77777777" w:rsidR="00D31FBB" w:rsidRPr="00A92CED" w:rsidRDefault="00D31FBB" w:rsidP="00A43155">
            <w:pPr>
              <w:pStyle w:val="ListParagraph"/>
              <w:numPr>
                <w:ilvl w:val="0"/>
                <w:numId w:val="1"/>
              </w:numPr>
              <w:jc w:val="center"/>
              <w:rPr>
                <w:lang w:val="fr-CA"/>
              </w:rPr>
            </w:pPr>
          </w:p>
        </w:tc>
        <w:tc>
          <w:tcPr>
            <w:tcW w:w="3715" w:type="dxa"/>
          </w:tcPr>
          <w:p w14:paraId="4332574C" w14:textId="3BF867F3" w:rsidR="00D31FBB" w:rsidRPr="00A92CED" w:rsidRDefault="00D31FBB" w:rsidP="002B1331">
            <w:pPr>
              <w:rPr>
                <w:rFonts w:ascii="Calibri" w:hAnsi="Calibri" w:cs="Calibri"/>
                <w:b/>
                <w:bCs/>
                <w:lang w:val="fr-CA"/>
              </w:rPr>
            </w:pPr>
            <w:r w:rsidRPr="00A92CED">
              <w:rPr>
                <w:rFonts w:ascii="Calibri" w:hAnsi="Calibri" w:cs="Calibri"/>
                <w:b/>
                <w:bCs/>
                <w:lang w:val="fr-CA"/>
              </w:rPr>
              <w:t>NOUVEAU</w:t>
            </w:r>
          </w:p>
        </w:tc>
        <w:tc>
          <w:tcPr>
            <w:tcW w:w="4076" w:type="dxa"/>
          </w:tcPr>
          <w:p w14:paraId="4E7217F6" w14:textId="663A3BAB" w:rsidR="00D31FBB" w:rsidRPr="00A92CED" w:rsidRDefault="00D31FBB" w:rsidP="002B1331">
            <w:pPr>
              <w:rPr>
                <w:rFonts w:cstheme="minorHAnsi"/>
                <w:lang w:val="fr-CA"/>
              </w:rPr>
            </w:pPr>
            <w:r w:rsidRPr="00A92CED">
              <w:rPr>
                <w:lang w:val="fr-CA"/>
              </w:rPr>
              <w:t xml:space="preserve">Ajouter à la Section 2 de la Partie 15 une exigence selon laquelle un vendeur doit s’assurer que tout emballage ou contenant qui a été utilisé pour des explosifs de type R.2 ou R.3 n’est pas réutilisé à moins que </w:t>
            </w:r>
            <w:r w:rsidRPr="00A92CED">
              <w:rPr>
                <w:rFonts w:cstheme="minorHAnsi"/>
                <w:lang w:val="fr-CA"/>
              </w:rPr>
              <w:t xml:space="preserve">: </w:t>
            </w:r>
          </w:p>
          <w:p w14:paraId="0A0E1F3F" w14:textId="14F4F335"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La classification aux fins du transport des explosifs de type </w:t>
            </w:r>
            <w:r w:rsidRPr="00A92CED">
              <w:rPr>
                <w:lang w:val="fr-CA"/>
              </w:rPr>
              <w:t xml:space="preserve">R.2 ou R.3 </w:t>
            </w:r>
            <w:r w:rsidRPr="00A92CED">
              <w:rPr>
                <w:rFonts w:cstheme="minorHAnsi"/>
                <w:lang w:val="fr-CA"/>
              </w:rPr>
              <w:t>reste inchangée;</w:t>
            </w:r>
          </w:p>
          <w:p w14:paraId="5AD1766C" w14:textId="196425FF"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Les explosifs de type </w:t>
            </w:r>
            <w:r w:rsidRPr="00A92CED">
              <w:rPr>
                <w:lang w:val="fr-CA"/>
              </w:rPr>
              <w:t xml:space="preserve">R.2 ou R.3 </w:t>
            </w:r>
            <w:r w:rsidRPr="00A92CED">
              <w:rPr>
                <w:rFonts w:cstheme="minorHAnsi"/>
                <w:lang w:val="fr-CA"/>
              </w:rPr>
              <w:t>sont disposés dans l’emballage ou le contenant de manière à réduire au minimum leur mouvement pendant le transport;</w:t>
            </w:r>
          </w:p>
          <w:p w14:paraId="30B8F277"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L’emballage ou le contenant est fermé pour le transport de la même manière que lors de sa première utilisation;</w:t>
            </w:r>
          </w:p>
          <w:p w14:paraId="423A81EB" w14:textId="09ADA620"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La masse des explosifs de type </w:t>
            </w:r>
            <w:r w:rsidRPr="00A92CED">
              <w:rPr>
                <w:lang w:val="fr-CA"/>
              </w:rPr>
              <w:t>R.2 ou R.3</w:t>
            </w:r>
            <w:r w:rsidRPr="00A92CED">
              <w:rPr>
                <w:rFonts w:cstheme="minorHAnsi"/>
                <w:lang w:val="fr-CA"/>
              </w:rPr>
              <w:t xml:space="preserve"> est égale ou inférieure à la masse des explosifs lors de la première utilisation de l’emballage ou du contenant;</w:t>
            </w:r>
          </w:p>
          <w:p w14:paraId="7D4BD838" w14:textId="5996E12C" w:rsidR="00D31FBB" w:rsidRPr="00A92CED" w:rsidRDefault="00D31FBB" w:rsidP="002B1331">
            <w:pPr>
              <w:pStyle w:val="ListParagraph"/>
              <w:numPr>
                <w:ilvl w:val="0"/>
                <w:numId w:val="27"/>
              </w:numPr>
              <w:ind w:left="714" w:hanging="357"/>
              <w:contextualSpacing w:val="0"/>
              <w:rPr>
                <w:rFonts w:cstheme="minorHAnsi"/>
                <w:lang w:val="fr-CA"/>
              </w:rPr>
            </w:pPr>
            <w:r w:rsidRPr="00A92CED">
              <w:rPr>
                <w:rFonts w:cstheme="minorHAnsi"/>
                <w:lang w:val="fr-CA"/>
              </w:rPr>
              <w:lastRenderedPageBreak/>
              <w:t>L’emballage ou le contenant ne présente aucun signe de dommage, de contamination ou de réduction de sa robustesse.</w:t>
            </w:r>
          </w:p>
        </w:tc>
        <w:tc>
          <w:tcPr>
            <w:tcW w:w="3143" w:type="dxa"/>
            <w:gridSpan w:val="2"/>
          </w:tcPr>
          <w:p w14:paraId="623CF3E0" w14:textId="3D6D226E" w:rsidR="00D31FBB" w:rsidRPr="00A92CED" w:rsidRDefault="00D31FBB" w:rsidP="002B1331">
            <w:pPr>
              <w:rPr>
                <w:rFonts w:cstheme="minorHAnsi"/>
                <w:lang w:val="fr-CA"/>
              </w:rPr>
            </w:pPr>
            <w:r w:rsidRPr="00A92CED">
              <w:rPr>
                <w:rFonts w:cstheme="minorHAnsi"/>
                <w:lang w:val="fr-CA"/>
              </w:rPr>
              <w:lastRenderedPageBreak/>
              <w:t>Les exigences relatives à la réutilisation des emballages d’explosifs étaient contenues auparavant dans la norme sur l’emballage de Transports Canada (CGSB-43.151) du Règlement sur le TMD.</w:t>
            </w:r>
          </w:p>
          <w:p w14:paraId="5764CEC3" w14:textId="77777777" w:rsidR="00D31FBB" w:rsidRPr="00A92CED" w:rsidRDefault="00D31FBB" w:rsidP="002B1331">
            <w:pPr>
              <w:rPr>
                <w:rFonts w:cstheme="minorHAnsi"/>
                <w:lang w:val="fr-CA"/>
              </w:rPr>
            </w:pPr>
          </w:p>
          <w:p w14:paraId="66231ECC" w14:textId="38F7E890" w:rsidR="00D31FBB" w:rsidRPr="00A92CED" w:rsidRDefault="00D31FBB" w:rsidP="002B1331">
            <w:pPr>
              <w:rPr>
                <w:rFonts w:cstheme="minorHAnsi"/>
                <w:lang w:val="fr-CA"/>
              </w:rPr>
            </w:pPr>
            <w:r w:rsidRPr="00A92CED">
              <w:rPr>
                <w:rFonts w:cstheme="minorHAnsi"/>
                <w:lang w:val="fr-CA"/>
              </w:rPr>
              <w:t xml:space="preserve">À la suite de discussions entre Transports Canada et RNCan, il a été convenu de faire de la réglementation des exigences relatives à la réutilisation des emballages d’explosifs la responsabilité de RNCan plutôt que de  TC. Le pouvoir de réglementer cette question est conféré en vertu de l’alinéa 5 </w:t>
            </w:r>
            <w:r w:rsidRPr="00A92CED">
              <w:rPr>
                <w:rFonts w:cstheme="minorHAnsi"/>
                <w:i/>
                <w:iCs/>
                <w:lang w:val="fr-CA"/>
              </w:rPr>
              <w:t>c</w:t>
            </w:r>
            <w:r w:rsidRPr="00A92CED">
              <w:rPr>
                <w:rFonts w:cstheme="minorHAnsi"/>
                <w:lang w:val="fr-CA"/>
              </w:rPr>
              <w:t xml:space="preserve">) de la </w:t>
            </w:r>
            <w:r w:rsidRPr="00A92CED">
              <w:rPr>
                <w:rFonts w:cstheme="minorHAnsi"/>
                <w:i/>
                <w:iCs/>
                <w:lang w:val="fr-CA"/>
              </w:rPr>
              <w:t>Loi sur les explosifs</w:t>
            </w:r>
            <w:r w:rsidRPr="00A92CED">
              <w:rPr>
                <w:rFonts w:cstheme="minorHAnsi"/>
                <w:lang w:val="fr-CA"/>
              </w:rPr>
              <w:t>.</w:t>
            </w:r>
          </w:p>
          <w:p w14:paraId="61B2E5D6" w14:textId="77777777" w:rsidR="00D31FBB" w:rsidRPr="00A92CED" w:rsidRDefault="00D31FBB" w:rsidP="002B1331">
            <w:pPr>
              <w:rPr>
                <w:lang w:val="fr-CA"/>
              </w:rPr>
            </w:pPr>
          </w:p>
        </w:tc>
        <w:tc>
          <w:tcPr>
            <w:tcW w:w="3087" w:type="dxa"/>
          </w:tcPr>
          <w:p w14:paraId="27282892" w14:textId="77777777" w:rsidR="00D31FBB" w:rsidRPr="00A92CED" w:rsidRDefault="00D31FBB" w:rsidP="00A43155">
            <w:pPr>
              <w:rPr>
                <w:lang w:val="fr-CA"/>
              </w:rPr>
            </w:pPr>
          </w:p>
        </w:tc>
      </w:tr>
      <w:tr w:rsidR="00A92CED" w:rsidRPr="00A92CED" w14:paraId="194A7B1E" w14:textId="77777777" w:rsidTr="00E10233">
        <w:tc>
          <w:tcPr>
            <w:tcW w:w="3126" w:type="dxa"/>
          </w:tcPr>
          <w:p w14:paraId="681AB8CD" w14:textId="77777777" w:rsidR="00D31FBB" w:rsidRPr="00A92CED" w:rsidRDefault="00D31FBB" w:rsidP="00A43155">
            <w:pPr>
              <w:pStyle w:val="ListParagraph"/>
              <w:numPr>
                <w:ilvl w:val="0"/>
                <w:numId w:val="1"/>
              </w:numPr>
              <w:jc w:val="center"/>
              <w:rPr>
                <w:lang w:val="fr-CA"/>
              </w:rPr>
            </w:pPr>
          </w:p>
        </w:tc>
        <w:tc>
          <w:tcPr>
            <w:tcW w:w="3715" w:type="dxa"/>
          </w:tcPr>
          <w:p w14:paraId="643070D4" w14:textId="43B8AD9E" w:rsidR="00D31FBB" w:rsidRPr="00A92CED" w:rsidRDefault="00D31FBB" w:rsidP="00A43155">
            <w:pPr>
              <w:rPr>
                <w:rFonts w:ascii="Calibri" w:hAnsi="Calibri" w:cs="Calibri"/>
                <w:b/>
                <w:bCs/>
                <w:lang w:val="fr-CA"/>
              </w:rPr>
            </w:pPr>
            <w:r w:rsidRPr="00A92CED">
              <w:rPr>
                <w:rFonts w:ascii="Calibri" w:hAnsi="Calibri" w:cs="Calibri"/>
                <w:b/>
                <w:bCs/>
                <w:lang w:val="fr-CA"/>
              </w:rPr>
              <w:t>NOUVEAU</w:t>
            </w:r>
          </w:p>
        </w:tc>
        <w:tc>
          <w:tcPr>
            <w:tcW w:w="4076" w:type="dxa"/>
          </w:tcPr>
          <w:p w14:paraId="28C5CDDA" w14:textId="2A7EB0CC" w:rsidR="00D31FBB" w:rsidRPr="00A92CED" w:rsidRDefault="00D31FBB" w:rsidP="002B1331">
            <w:pPr>
              <w:rPr>
                <w:rFonts w:cstheme="minorHAnsi"/>
                <w:lang w:val="fr-CA"/>
              </w:rPr>
            </w:pPr>
            <w:r w:rsidRPr="00A92CED">
              <w:rPr>
                <w:lang w:val="fr-CA"/>
              </w:rPr>
              <w:t xml:space="preserve">Ajouter à la Section 2 de la Partie 15 une exigence selon laquelle un utilisateur doit s’assurer que tout emballage ou contenant qui a été utilisé pour des explosifs de type R.2 ou R.3 n’est pas réutilisé à moins que </w:t>
            </w:r>
            <w:r w:rsidRPr="00A92CED">
              <w:rPr>
                <w:rFonts w:cstheme="minorHAnsi"/>
                <w:lang w:val="fr-CA"/>
              </w:rPr>
              <w:t xml:space="preserve">: </w:t>
            </w:r>
          </w:p>
          <w:p w14:paraId="4776EDDA"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La classification aux fins du transport des explosifs de type </w:t>
            </w:r>
            <w:r w:rsidRPr="00A92CED">
              <w:rPr>
                <w:lang w:val="fr-CA"/>
              </w:rPr>
              <w:t xml:space="preserve">R.2 ou R.3 </w:t>
            </w:r>
            <w:r w:rsidRPr="00A92CED">
              <w:rPr>
                <w:rFonts w:cstheme="minorHAnsi"/>
                <w:lang w:val="fr-CA"/>
              </w:rPr>
              <w:t>reste inchangée;</w:t>
            </w:r>
          </w:p>
          <w:p w14:paraId="388F8CE0"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Les explosifs de type </w:t>
            </w:r>
            <w:r w:rsidRPr="00A92CED">
              <w:rPr>
                <w:lang w:val="fr-CA"/>
              </w:rPr>
              <w:t xml:space="preserve">R.2 ou R.3 </w:t>
            </w:r>
            <w:r w:rsidRPr="00A92CED">
              <w:rPr>
                <w:rFonts w:cstheme="minorHAnsi"/>
                <w:lang w:val="fr-CA"/>
              </w:rPr>
              <w:t>sont disposés dans l’emballage ou le contenant de manière à réduire au minimum leur mouvement pendant le transport;</w:t>
            </w:r>
          </w:p>
          <w:p w14:paraId="761C4E8E"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L’emballage ou le contenant est fermé pour le transport de la même manière que lors de sa première utilisation;</w:t>
            </w:r>
          </w:p>
          <w:p w14:paraId="36FE8DFB"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La masse des explosifs de type </w:t>
            </w:r>
            <w:r w:rsidRPr="00A92CED">
              <w:rPr>
                <w:lang w:val="fr-CA"/>
              </w:rPr>
              <w:t>R.2 ou R.3</w:t>
            </w:r>
            <w:r w:rsidRPr="00A92CED">
              <w:rPr>
                <w:rFonts w:cstheme="minorHAnsi"/>
                <w:lang w:val="fr-CA"/>
              </w:rPr>
              <w:t xml:space="preserve"> est égale ou inférieure à la masse des explosifs lors de la première utilisation de l’emballage ou du contenant;</w:t>
            </w:r>
          </w:p>
          <w:p w14:paraId="3165657C" w14:textId="5E999B57" w:rsidR="00D31FBB" w:rsidRPr="00A92CED" w:rsidRDefault="00D31FBB" w:rsidP="002B1331">
            <w:pPr>
              <w:pStyle w:val="ListParagraph"/>
              <w:numPr>
                <w:ilvl w:val="0"/>
                <w:numId w:val="27"/>
              </w:numPr>
              <w:ind w:left="714" w:hanging="357"/>
              <w:contextualSpacing w:val="0"/>
              <w:rPr>
                <w:rFonts w:cstheme="minorHAnsi"/>
                <w:lang w:val="fr-CA"/>
              </w:rPr>
            </w:pPr>
            <w:r w:rsidRPr="00A92CED">
              <w:rPr>
                <w:rFonts w:cstheme="minorHAnsi"/>
                <w:lang w:val="fr-CA"/>
              </w:rPr>
              <w:t>L’emballage ou le contenant ne présente aucun signe de dommage, de contamination ou de réduction de sa robustesse.</w:t>
            </w:r>
          </w:p>
        </w:tc>
        <w:tc>
          <w:tcPr>
            <w:tcW w:w="3143" w:type="dxa"/>
            <w:gridSpan w:val="2"/>
          </w:tcPr>
          <w:p w14:paraId="719558B0" w14:textId="76A285BE" w:rsidR="00D31FBB" w:rsidRPr="00A92CED" w:rsidRDefault="00D31FBB" w:rsidP="002B1331">
            <w:pPr>
              <w:rPr>
                <w:rFonts w:cstheme="minorHAnsi"/>
                <w:lang w:val="fr-CA"/>
              </w:rPr>
            </w:pPr>
            <w:r w:rsidRPr="00A92CED">
              <w:rPr>
                <w:rFonts w:cstheme="minorHAnsi"/>
                <w:lang w:val="fr-CA"/>
              </w:rPr>
              <w:t>Les exigences relatives à la réutilisation des emballages d’explosifs étaient contenues auparavant dans la norme sur l’emballage de Transports Canada (CGSB-43.151) du Règlement sur le TMD.</w:t>
            </w:r>
          </w:p>
          <w:p w14:paraId="09784E1A" w14:textId="77777777" w:rsidR="00D31FBB" w:rsidRPr="00A92CED" w:rsidRDefault="00D31FBB" w:rsidP="002B1331">
            <w:pPr>
              <w:rPr>
                <w:rFonts w:cstheme="minorHAnsi"/>
                <w:lang w:val="fr-CA"/>
              </w:rPr>
            </w:pPr>
          </w:p>
          <w:p w14:paraId="47692850" w14:textId="031F6DA5" w:rsidR="00D31FBB" w:rsidRPr="00A92CED" w:rsidRDefault="00D31FBB" w:rsidP="002B1331">
            <w:pPr>
              <w:rPr>
                <w:rFonts w:cstheme="minorHAnsi"/>
                <w:lang w:val="fr-CA"/>
              </w:rPr>
            </w:pPr>
            <w:r w:rsidRPr="00A92CED">
              <w:rPr>
                <w:rFonts w:cstheme="minorHAnsi"/>
                <w:lang w:val="fr-CA"/>
              </w:rPr>
              <w:t xml:space="preserve">À la suite de discussions entre Transports Canada et RNCan, il a été convenu de faire de la réglementation des exigences relatives à la réutilisation des emballages d’explosifs la responsabilité de RNCan plutôt que de  TC. Le pouvoir de réglementer cette question est conféré en vertu de l’alinéa 5 </w:t>
            </w:r>
            <w:r w:rsidRPr="00A92CED">
              <w:rPr>
                <w:rFonts w:cstheme="minorHAnsi"/>
                <w:i/>
                <w:iCs/>
                <w:lang w:val="fr-CA"/>
              </w:rPr>
              <w:t>c</w:t>
            </w:r>
            <w:r w:rsidRPr="00A92CED">
              <w:rPr>
                <w:rFonts w:cstheme="minorHAnsi"/>
                <w:lang w:val="fr-CA"/>
              </w:rPr>
              <w:t xml:space="preserve">) de la </w:t>
            </w:r>
            <w:r w:rsidRPr="00A92CED">
              <w:rPr>
                <w:rFonts w:cstheme="minorHAnsi"/>
                <w:i/>
                <w:iCs/>
                <w:lang w:val="fr-CA"/>
              </w:rPr>
              <w:t>Loi sur les explosifs</w:t>
            </w:r>
            <w:r w:rsidRPr="00A92CED">
              <w:rPr>
                <w:rFonts w:cstheme="minorHAnsi"/>
                <w:lang w:val="fr-CA"/>
              </w:rPr>
              <w:t>.</w:t>
            </w:r>
          </w:p>
          <w:p w14:paraId="19F3122D" w14:textId="77777777" w:rsidR="00D31FBB" w:rsidRPr="00A92CED" w:rsidRDefault="00D31FBB" w:rsidP="002B1331">
            <w:pPr>
              <w:rPr>
                <w:lang w:val="fr-CA"/>
              </w:rPr>
            </w:pPr>
          </w:p>
        </w:tc>
        <w:tc>
          <w:tcPr>
            <w:tcW w:w="3087" w:type="dxa"/>
          </w:tcPr>
          <w:p w14:paraId="1D0D10CE" w14:textId="77777777" w:rsidR="00D31FBB" w:rsidRPr="00A92CED" w:rsidRDefault="00D31FBB" w:rsidP="00A43155">
            <w:pPr>
              <w:rPr>
                <w:lang w:val="fr-CA"/>
              </w:rPr>
            </w:pPr>
          </w:p>
        </w:tc>
      </w:tr>
      <w:bookmarkEnd w:id="0"/>
      <w:tr w:rsidR="00A92CED" w:rsidRPr="00A92CED" w14:paraId="5AA7306E" w14:textId="77777777" w:rsidTr="00E10233">
        <w:tc>
          <w:tcPr>
            <w:tcW w:w="3126" w:type="dxa"/>
          </w:tcPr>
          <w:p w14:paraId="15ACC2BA" w14:textId="77777777" w:rsidR="00D31FBB" w:rsidRPr="00A92CED" w:rsidRDefault="00D31FBB" w:rsidP="00D15EFA">
            <w:pPr>
              <w:pStyle w:val="ListParagraph"/>
              <w:numPr>
                <w:ilvl w:val="0"/>
                <w:numId w:val="1"/>
              </w:numPr>
              <w:jc w:val="center"/>
              <w:rPr>
                <w:lang w:val="fr-CA"/>
              </w:rPr>
            </w:pPr>
          </w:p>
        </w:tc>
        <w:tc>
          <w:tcPr>
            <w:tcW w:w="3715" w:type="dxa"/>
          </w:tcPr>
          <w:p w14:paraId="1FB726D3" w14:textId="2CADFB5F" w:rsidR="00D31FBB" w:rsidRPr="00A92CED" w:rsidRDefault="00D31FBB" w:rsidP="00D15EFA">
            <w:pPr>
              <w:rPr>
                <w:rFonts w:ascii="Calibri" w:hAnsi="Calibri" w:cs="Calibri"/>
                <w:b/>
                <w:bCs/>
                <w:lang w:val="fr-CA"/>
              </w:rPr>
            </w:pPr>
            <w:r w:rsidRPr="00A92CED">
              <w:rPr>
                <w:rFonts w:ascii="Calibri" w:hAnsi="Calibri" w:cs="Calibri"/>
                <w:b/>
                <w:bCs/>
                <w:lang w:val="fr-CA"/>
              </w:rPr>
              <w:t>NOUVEAU</w:t>
            </w:r>
          </w:p>
        </w:tc>
        <w:tc>
          <w:tcPr>
            <w:tcW w:w="4076" w:type="dxa"/>
          </w:tcPr>
          <w:p w14:paraId="50592A8B" w14:textId="11B7C27A" w:rsidR="00D31FBB" w:rsidRPr="00A92CED" w:rsidRDefault="00D31FBB" w:rsidP="00D15EFA">
            <w:pPr>
              <w:rPr>
                <w:lang w:val="fr-CA"/>
              </w:rPr>
            </w:pPr>
            <w:r w:rsidRPr="00A92CED">
              <w:rPr>
                <w:lang w:val="fr-CA"/>
              </w:rPr>
              <w:t xml:space="preserve">Modifier la partie 15 pour créer une nouvelle section 3 intitulée </w:t>
            </w:r>
            <w:r w:rsidRPr="00A92CED">
              <w:rPr>
                <w:rFonts w:cstheme="minorHAnsi"/>
                <w:lang w:val="fr-CA"/>
              </w:rPr>
              <w:t>« Moteurs de fusée haute puissance avancés </w:t>
            </w:r>
            <w:r w:rsidRPr="00A92CED">
              <w:rPr>
                <w:rFonts w:ascii="Calibri" w:hAnsi="Calibri" w:cs="Calibri"/>
                <w:lang w:val="fr-CA"/>
              </w:rPr>
              <w:t>».</w:t>
            </w:r>
          </w:p>
        </w:tc>
        <w:tc>
          <w:tcPr>
            <w:tcW w:w="3143" w:type="dxa"/>
            <w:gridSpan w:val="2"/>
          </w:tcPr>
          <w:p w14:paraId="07C1F1B0" w14:textId="2174C99F" w:rsidR="00D31FBB" w:rsidRPr="00A92CED" w:rsidRDefault="00D31FBB" w:rsidP="00D15EFA">
            <w:pPr>
              <w:rPr>
                <w:lang w:val="fr-CA"/>
              </w:rPr>
            </w:pPr>
            <w:r w:rsidRPr="00A92CED">
              <w:rPr>
                <w:lang w:val="fr-CA"/>
              </w:rPr>
              <w:t xml:space="preserve">Cet amendement proposé vise à appuyer l’ajout d’une nouvelle section 3 à la partie 15 pour </w:t>
            </w:r>
            <w:r w:rsidRPr="00A92CED">
              <w:rPr>
                <w:lang w:val="fr-CA"/>
              </w:rPr>
              <w:lastRenderedPageBreak/>
              <w:t>prévoir les exigences applicables aux moteurs de fusée haute puissance avancés.</w:t>
            </w:r>
          </w:p>
        </w:tc>
        <w:tc>
          <w:tcPr>
            <w:tcW w:w="3087" w:type="dxa"/>
          </w:tcPr>
          <w:p w14:paraId="3661A296" w14:textId="77777777" w:rsidR="00D31FBB" w:rsidRPr="00A92CED" w:rsidRDefault="00D31FBB" w:rsidP="00D15EFA">
            <w:pPr>
              <w:rPr>
                <w:lang w:val="fr-CA"/>
              </w:rPr>
            </w:pPr>
          </w:p>
        </w:tc>
      </w:tr>
      <w:tr w:rsidR="00A92CED" w:rsidRPr="00A92CED" w14:paraId="2039A2E0" w14:textId="77777777" w:rsidTr="00E10233">
        <w:tc>
          <w:tcPr>
            <w:tcW w:w="3126" w:type="dxa"/>
          </w:tcPr>
          <w:p w14:paraId="5AF9C0EE" w14:textId="77777777" w:rsidR="00D31FBB" w:rsidRPr="00A92CED" w:rsidRDefault="00D31FBB" w:rsidP="00D15EFA">
            <w:pPr>
              <w:pStyle w:val="ListParagraph"/>
              <w:numPr>
                <w:ilvl w:val="0"/>
                <w:numId w:val="1"/>
              </w:numPr>
              <w:jc w:val="center"/>
              <w:rPr>
                <w:lang w:val="fr-CA"/>
              </w:rPr>
            </w:pPr>
          </w:p>
        </w:tc>
        <w:tc>
          <w:tcPr>
            <w:tcW w:w="3715" w:type="dxa"/>
          </w:tcPr>
          <w:p w14:paraId="3A6B438D" w14:textId="29912BE0" w:rsidR="00D31FBB" w:rsidRPr="00A92CED" w:rsidRDefault="00D31FBB" w:rsidP="00D15EFA">
            <w:pPr>
              <w:rPr>
                <w:rFonts w:ascii="Calibri" w:hAnsi="Calibri" w:cs="Calibri"/>
                <w:b/>
                <w:bCs/>
                <w:lang w:val="fr-CA"/>
              </w:rPr>
            </w:pPr>
            <w:r w:rsidRPr="00A92CED">
              <w:rPr>
                <w:rFonts w:ascii="Calibri" w:hAnsi="Calibri" w:cs="Calibri"/>
                <w:b/>
                <w:bCs/>
                <w:lang w:val="fr-CA"/>
              </w:rPr>
              <w:t>NOUVEAU</w:t>
            </w:r>
          </w:p>
        </w:tc>
        <w:tc>
          <w:tcPr>
            <w:tcW w:w="4076" w:type="dxa"/>
          </w:tcPr>
          <w:p w14:paraId="065709A7" w14:textId="1A5A5F02" w:rsidR="00D31FBB" w:rsidRPr="00A92CED" w:rsidRDefault="00D31FBB" w:rsidP="00D15EFA">
            <w:pPr>
              <w:rPr>
                <w:lang w:val="fr-CA"/>
              </w:rPr>
            </w:pPr>
            <w:r w:rsidRPr="00A92CED">
              <w:rPr>
                <w:lang w:val="fr-CA"/>
              </w:rPr>
              <w:t xml:space="preserve">Modifier la nouvelle section 3 proposée de la partie 15 pour ajouter la nouvelle exigence ci-après : </w:t>
            </w:r>
          </w:p>
          <w:p w14:paraId="400B50F0" w14:textId="61FE2183" w:rsidR="00D31FBB" w:rsidRPr="00A92CED" w:rsidRDefault="00D31FBB" w:rsidP="00D15EFA">
            <w:pPr>
              <w:pStyle w:val="ListParagraph"/>
              <w:numPr>
                <w:ilvl w:val="0"/>
                <w:numId w:val="27"/>
              </w:numPr>
              <w:rPr>
                <w:lang w:val="fr-CA"/>
              </w:rPr>
            </w:pPr>
            <w:r w:rsidRPr="00A92CED">
              <w:rPr>
                <w:rFonts w:eastAsiaTheme="minorEastAsia"/>
                <w:lang w:val="fr-CA"/>
              </w:rPr>
              <w:t>Dans la présente section, toute mention d’un moteur de fusée, d’une trousse de rechargement ou d’un allumeur s’entend respectivement d’un moteur de fusée haute puissance avancé, d’une trousse de rechargement pour un moteur de fusée haute puissance avancé ou d’un allumeur pour moteur de fusée haute puissance avancé.</w:t>
            </w:r>
          </w:p>
        </w:tc>
        <w:tc>
          <w:tcPr>
            <w:tcW w:w="3143" w:type="dxa"/>
            <w:gridSpan w:val="2"/>
          </w:tcPr>
          <w:p w14:paraId="0D2CE36D" w14:textId="21DA1727" w:rsidR="00D31FBB" w:rsidRPr="00A92CED" w:rsidRDefault="00D31FBB" w:rsidP="00D15EFA">
            <w:pPr>
              <w:rPr>
                <w:lang w:val="fr-CA"/>
              </w:rPr>
            </w:pPr>
            <w:r w:rsidRPr="00A92CED">
              <w:rPr>
                <w:lang w:val="fr-CA"/>
              </w:rPr>
              <w:t>Cet amendement proposé vise à appuyer l’ajout d’une nouvelle section 3 à la partie 15 pour prévoir les exigences applicables aux moteurs de fusée haute puissance avancés.</w:t>
            </w:r>
          </w:p>
        </w:tc>
        <w:tc>
          <w:tcPr>
            <w:tcW w:w="3087" w:type="dxa"/>
          </w:tcPr>
          <w:p w14:paraId="0E1D9714" w14:textId="77777777" w:rsidR="00D31FBB" w:rsidRPr="00A92CED" w:rsidRDefault="00D31FBB" w:rsidP="00D15EFA">
            <w:pPr>
              <w:rPr>
                <w:lang w:val="fr-CA"/>
              </w:rPr>
            </w:pPr>
          </w:p>
        </w:tc>
      </w:tr>
      <w:tr w:rsidR="00A92CED" w:rsidRPr="00A92CED" w14:paraId="62A39D48" w14:textId="77777777" w:rsidTr="00E10233">
        <w:tc>
          <w:tcPr>
            <w:tcW w:w="3126" w:type="dxa"/>
          </w:tcPr>
          <w:p w14:paraId="352DEB5C" w14:textId="77777777" w:rsidR="00D31FBB" w:rsidRPr="00A92CED" w:rsidRDefault="00D31FBB" w:rsidP="00D15EFA">
            <w:pPr>
              <w:pStyle w:val="ListParagraph"/>
              <w:numPr>
                <w:ilvl w:val="0"/>
                <w:numId w:val="1"/>
              </w:numPr>
              <w:jc w:val="center"/>
              <w:rPr>
                <w:lang w:val="fr-CA"/>
              </w:rPr>
            </w:pPr>
          </w:p>
        </w:tc>
        <w:tc>
          <w:tcPr>
            <w:tcW w:w="3715" w:type="dxa"/>
          </w:tcPr>
          <w:p w14:paraId="3DAAEC4F" w14:textId="414D0B57" w:rsidR="00D31FBB" w:rsidRPr="00A92CED" w:rsidRDefault="00D31FBB" w:rsidP="00D15EFA">
            <w:pPr>
              <w:rPr>
                <w:rFonts w:ascii="Calibri" w:hAnsi="Calibri" w:cs="Calibri"/>
                <w:b/>
                <w:bCs/>
                <w:lang w:val="fr-CA"/>
              </w:rPr>
            </w:pPr>
            <w:r w:rsidRPr="00A92CED">
              <w:rPr>
                <w:rFonts w:ascii="Calibri" w:hAnsi="Calibri" w:cs="Calibri"/>
                <w:b/>
                <w:bCs/>
                <w:lang w:val="fr-CA"/>
              </w:rPr>
              <w:t>NOUVEAU</w:t>
            </w:r>
          </w:p>
        </w:tc>
        <w:tc>
          <w:tcPr>
            <w:tcW w:w="4076" w:type="dxa"/>
          </w:tcPr>
          <w:p w14:paraId="3DB9CE86" w14:textId="25E47E0E" w:rsidR="00D31FBB" w:rsidRPr="00A92CED" w:rsidRDefault="00D31FBB" w:rsidP="00D15EFA">
            <w:pPr>
              <w:rPr>
                <w:lang w:val="fr-CA"/>
              </w:rPr>
            </w:pPr>
            <w:r w:rsidRPr="00A92CED">
              <w:rPr>
                <w:lang w:val="fr-CA"/>
              </w:rPr>
              <w:t xml:space="preserve">Modifier la nouvelle section 3 proposée de la partie 15 pour ajouter la nouvelle exigence ci-après visant les vendeurs : </w:t>
            </w:r>
          </w:p>
          <w:p w14:paraId="61385BE7" w14:textId="247D8F05" w:rsidR="00D31FBB" w:rsidRPr="00A92CED" w:rsidRDefault="00D31FBB" w:rsidP="00D15EFA">
            <w:pPr>
              <w:pStyle w:val="ListParagraph"/>
              <w:numPr>
                <w:ilvl w:val="0"/>
                <w:numId w:val="27"/>
              </w:numPr>
              <w:rPr>
                <w:lang w:val="fr-CA"/>
              </w:rPr>
            </w:pPr>
            <w:r w:rsidRPr="00A92CED">
              <w:rPr>
                <w:rFonts w:eastAsiaTheme="minorEastAsia"/>
                <w:lang w:val="fr-CA"/>
              </w:rPr>
              <w:t>Le vendeur peut acquérir, stocker et vendre des moteurs de fusée, des trousses de rechargement et des allumeurs s’il est titulaire d’une licence. Le vendeur qui acquiert de tels moteurs, de telles trousses ou de tels allumeurs se conforme à la présente section.</w:t>
            </w:r>
          </w:p>
        </w:tc>
        <w:tc>
          <w:tcPr>
            <w:tcW w:w="3143" w:type="dxa"/>
            <w:gridSpan w:val="2"/>
          </w:tcPr>
          <w:p w14:paraId="4A2A9884" w14:textId="7E33C0D0" w:rsidR="00D31FBB" w:rsidRPr="00A92CED" w:rsidRDefault="00D31FBB" w:rsidP="00D15EFA">
            <w:pPr>
              <w:rPr>
                <w:lang w:val="fr-CA"/>
              </w:rPr>
            </w:pPr>
            <w:r w:rsidRPr="00A92CED">
              <w:rPr>
                <w:lang w:val="fr-CA"/>
              </w:rPr>
              <w:t>Cet amendement proposé vise à appuyer l’ajout d’une nouvelle section 3 à la partie 15 pour prévoir les exigences applicables aux moteurs de fusée haute puissance avancés.</w:t>
            </w:r>
          </w:p>
        </w:tc>
        <w:tc>
          <w:tcPr>
            <w:tcW w:w="3087" w:type="dxa"/>
          </w:tcPr>
          <w:p w14:paraId="5F29D37F" w14:textId="77777777" w:rsidR="00D31FBB" w:rsidRPr="00A92CED" w:rsidRDefault="00D31FBB" w:rsidP="00D15EFA">
            <w:pPr>
              <w:rPr>
                <w:lang w:val="fr-CA"/>
              </w:rPr>
            </w:pPr>
          </w:p>
        </w:tc>
      </w:tr>
      <w:tr w:rsidR="00A92CED" w:rsidRPr="00A92CED" w14:paraId="59EFF284" w14:textId="77777777" w:rsidTr="00E10233">
        <w:tc>
          <w:tcPr>
            <w:tcW w:w="3126" w:type="dxa"/>
          </w:tcPr>
          <w:p w14:paraId="39D5AD72" w14:textId="77777777" w:rsidR="00D31FBB" w:rsidRPr="00A92CED" w:rsidRDefault="00D31FBB" w:rsidP="00D15EFA">
            <w:pPr>
              <w:pStyle w:val="ListParagraph"/>
              <w:numPr>
                <w:ilvl w:val="0"/>
                <w:numId w:val="1"/>
              </w:numPr>
              <w:jc w:val="center"/>
              <w:rPr>
                <w:lang w:val="fr-CA"/>
              </w:rPr>
            </w:pPr>
          </w:p>
        </w:tc>
        <w:tc>
          <w:tcPr>
            <w:tcW w:w="3715" w:type="dxa"/>
          </w:tcPr>
          <w:p w14:paraId="556BC388" w14:textId="43B8CFB6" w:rsidR="00D31FBB" w:rsidRPr="00A92CED" w:rsidRDefault="00D31FBB" w:rsidP="00D15EFA">
            <w:pPr>
              <w:rPr>
                <w:rFonts w:ascii="Calibri" w:hAnsi="Calibri" w:cs="Calibri"/>
                <w:b/>
                <w:bCs/>
                <w:lang w:val="fr-CA"/>
              </w:rPr>
            </w:pPr>
            <w:r w:rsidRPr="00A92CED">
              <w:rPr>
                <w:rFonts w:ascii="Calibri" w:hAnsi="Calibri" w:cs="Calibri"/>
                <w:b/>
                <w:bCs/>
                <w:lang w:val="fr-CA"/>
              </w:rPr>
              <w:t>NOUVEAU</w:t>
            </w:r>
          </w:p>
        </w:tc>
        <w:tc>
          <w:tcPr>
            <w:tcW w:w="4076" w:type="dxa"/>
          </w:tcPr>
          <w:p w14:paraId="1A47157D" w14:textId="59497627" w:rsidR="00D31FBB" w:rsidRPr="00A92CED" w:rsidRDefault="00D31FBB" w:rsidP="00D15EFA">
            <w:pPr>
              <w:rPr>
                <w:lang w:val="fr-CA"/>
              </w:rPr>
            </w:pPr>
            <w:r w:rsidRPr="00A92CED">
              <w:rPr>
                <w:lang w:val="fr-CA"/>
              </w:rPr>
              <w:t xml:space="preserve">Modifier la nouvelle section 3 proposée de la partie 15 pour ajouter la nouvelle exigence ci-après visant les vendeurs : </w:t>
            </w:r>
          </w:p>
          <w:p w14:paraId="22391F6F" w14:textId="702FC303" w:rsidR="00D31FBB" w:rsidRPr="00A92CED" w:rsidRDefault="00D31FBB" w:rsidP="00D15EFA">
            <w:pPr>
              <w:pStyle w:val="ListParagraph"/>
              <w:numPr>
                <w:ilvl w:val="0"/>
                <w:numId w:val="27"/>
              </w:numPr>
              <w:rPr>
                <w:lang w:val="fr-CA"/>
              </w:rPr>
            </w:pPr>
            <w:r w:rsidRPr="00A92CED">
              <w:rPr>
                <w:rFonts w:eastAsiaTheme="minorEastAsia"/>
                <w:lang w:val="fr-CA"/>
              </w:rPr>
              <w:t xml:space="preserve">Le vendeur stocke ses moteurs de fusée, ses trousses de </w:t>
            </w:r>
            <w:r w:rsidRPr="00A92CED">
              <w:rPr>
                <w:rFonts w:eastAsiaTheme="minorEastAsia"/>
                <w:lang w:val="fr-CA"/>
              </w:rPr>
              <w:lastRenderedPageBreak/>
              <w:t>rechargement et ses allumeurs dans la poudrière mentionnée dans sa licence.</w:t>
            </w:r>
          </w:p>
        </w:tc>
        <w:tc>
          <w:tcPr>
            <w:tcW w:w="3143" w:type="dxa"/>
            <w:gridSpan w:val="2"/>
          </w:tcPr>
          <w:p w14:paraId="0477B5CD" w14:textId="5657D69F" w:rsidR="00D31FBB" w:rsidRPr="00A92CED" w:rsidRDefault="00D31FBB" w:rsidP="00D15EFA">
            <w:pPr>
              <w:rPr>
                <w:lang w:val="fr-CA"/>
              </w:rPr>
            </w:pPr>
            <w:r w:rsidRPr="00A92CED">
              <w:rPr>
                <w:lang w:val="fr-CA"/>
              </w:rPr>
              <w:lastRenderedPageBreak/>
              <w:t xml:space="preserve">Cet amendement proposé vise à appuyer l’ajout d’une nouvelle section 3 à la partie 15 pour prévoir les exigences applicables </w:t>
            </w:r>
            <w:r w:rsidRPr="00A92CED">
              <w:rPr>
                <w:lang w:val="fr-CA"/>
              </w:rPr>
              <w:lastRenderedPageBreak/>
              <w:t>aux moteurs de fusée haute puissance avancés.</w:t>
            </w:r>
          </w:p>
        </w:tc>
        <w:tc>
          <w:tcPr>
            <w:tcW w:w="3087" w:type="dxa"/>
          </w:tcPr>
          <w:p w14:paraId="7F863018" w14:textId="77777777" w:rsidR="00D31FBB" w:rsidRPr="00A92CED" w:rsidRDefault="00D31FBB" w:rsidP="00D15EFA">
            <w:pPr>
              <w:rPr>
                <w:lang w:val="fr-CA"/>
              </w:rPr>
            </w:pPr>
          </w:p>
        </w:tc>
      </w:tr>
      <w:tr w:rsidR="00A92CED" w:rsidRPr="00A92CED" w14:paraId="17E277CD" w14:textId="77777777" w:rsidTr="00E10233">
        <w:tc>
          <w:tcPr>
            <w:tcW w:w="3126" w:type="dxa"/>
          </w:tcPr>
          <w:p w14:paraId="6CE3391B" w14:textId="77777777" w:rsidR="00D31FBB" w:rsidRPr="00A92CED" w:rsidRDefault="00D31FBB" w:rsidP="00D15EFA">
            <w:pPr>
              <w:pStyle w:val="ListParagraph"/>
              <w:numPr>
                <w:ilvl w:val="0"/>
                <w:numId w:val="1"/>
              </w:numPr>
              <w:jc w:val="center"/>
              <w:rPr>
                <w:lang w:val="fr-CA"/>
              </w:rPr>
            </w:pPr>
          </w:p>
        </w:tc>
        <w:tc>
          <w:tcPr>
            <w:tcW w:w="3715" w:type="dxa"/>
          </w:tcPr>
          <w:p w14:paraId="6412C4C1" w14:textId="2405616B" w:rsidR="00D31FBB" w:rsidRPr="00A92CED" w:rsidRDefault="00D31FBB" w:rsidP="00D15EFA">
            <w:pPr>
              <w:rPr>
                <w:rFonts w:ascii="Calibri" w:hAnsi="Calibri" w:cs="Calibri"/>
                <w:b/>
                <w:bCs/>
                <w:lang w:val="fr-CA"/>
              </w:rPr>
            </w:pPr>
            <w:r w:rsidRPr="00A92CED">
              <w:rPr>
                <w:rFonts w:ascii="Calibri" w:hAnsi="Calibri" w:cs="Calibri"/>
                <w:b/>
                <w:bCs/>
                <w:lang w:val="fr-CA"/>
              </w:rPr>
              <w:t>NOUVEAU</w:t>
            </w:r>
          </w:p>
        </w:tc>
        <w:tc>
          <w:tcPr>
            <w:tcW w:w="4076" w:type="dxa"/>
          </w:tcPr>
          <w:p w14:paraId="50AF061D" w14:textId="16BE468D" w:rsidR="00D31FBB" w:rsidRPr="00A92CED" w:rsidRDefault="00D31FBB" w:rsidP="00D15EFA">
            <w:pPr>
              <w:rPr>
                <w:lang w:val="fr-CA"/>
              </w:rPr>
            </w:pPr>
            <w:r w:rsidRPr="00A92CED">
              <w:rPr>
                <w:lang w:val="fr-CA"/>
              </w:rPr>
              <w:t xml:space="preserve">Modifier la nouvelle section 3 proposée de la partie 15 pour ajouter la nouvelle exigence ci-après visant les vendeurs : </w:t>
            </w:r>
          </w:p>
          <w:p w14:paraId="3F131B5F" w14:textId="62CDB08B" w:rsidR="00D31FBB" w:rsidRPr="00A92CED" w:rsidRDefault="00D31FBB" w:rsidP="00D15EFA">
            <w:pPr>
              <w:pStyle w:val="ListParagraph"/>
              <w:numPr>
                <w:ilvl w:val="0"/>
                <w:numId w:val="27"/>
              </w:numPr>
              <w:rPr>
                <w:lang w:val="fr-CA"/>
              </w:rPr>
            </w:pPr>
            <w:r w:rsidRPr="00A92CED">
              <w:rPr>
                <w:rFonts w:eastAsiaTheme="minorEastAsia"/>
                <w:lang w:val="fr-CA"/>
              </w:rPr>
              <w:t>Le vendeur ne peut exposer pour la vente des moteurs de fusée et des trousses de rechargement.</w:t>
            </w:r>
          </w:p>
        </w:tc>
        <w:tc>
          <w:tcPr>
            <w:tcW w:w="3143" w:type="dxa"/>
            <w:gridSpan w:val="2"/>
          </w:tcPr>
          <w:p w14:paraId="5B0DDDA2" w14:textId="006E2530" w:rsidR="00D31FBB" w:rsidRPr="00A92CED" w:rsidRDefault="00D31FBB" w:rsidP="00D15EFA">
            <w:pPr>
              <w:rPr>
                <w:lang w:val="fr-CA"/>
              </w:rPr>
            </w:pPr>
            <w:r w:rsidRPr="00A92CED">
              <w:rPr>
                <w:lang w:val="fr-CA"/>
              </w:rPr>
              <w:t>Cet amendement proposé vise à appuyer l’ajout d’une nouvelle section 3 à la partie 15 pour prévoir les exigences applicables aux moteurs de fusée haute puissance avancés.</w:t>
            </w:r>
          </w:p>
        </w:tc>
        <w:tc>
          <w:tcPr>
            <w:tcW w:w="3087" w:type="dxa"/>
          </w:tcPr>
          <w:p w14:paraId="3DFC6CB0" w14:textId="77777777" w:rsidR="00D31FBB" w:rsidRPr="00A92CED" w:rsidRDefault="00D31FBB" w:rsidP="00D15EFA">
            <w:pPr>
              <w:rPr>
                <w:lang w:val="fr-CA"/>
              </w:rPr>
            </w:pPr>
          </w:p>
        </w:tc>
      </w:tr>
      <w:tr w:rsidR="00A92CED" w:rsidRPr="00A92CED" w14:paraId="403B3C97" w14:textId="77777777" w:rsidTr="00E10233">
        <w:tc>
          <w:tcPr>
            <w:tcW w:w="3126" w:type="dxa"/>
          </w:tcPr>
          <w:p w14:paraId="661AC179" w14:textId="77777777" w:rsidR="00D31FBB" w:rsidRPr="00A92CED" w:rsidRDefault="00D31FBB" w:rsidP="00D15EFA">
            <w:pPr>
              <w:pStyle w:val="ListParagraph"/>
              <w:numPr>
                <w:ilvl w:val="0"/>
                <w:numId w:val="1"/>
              </w:numPr>
              <w:jc w:val="center"/>
              <w:rPr>
                <w:lang w:val="fr-CA"/>
              </w:rPr>
            </w:pPr>
          </w:p>
        </w:tc>
        <w:tc>
          <w:tcPr>
            <w:tcW w:w="3715" w:type="dxa"/>
          </w:tcPr>
          <w:p w14:paraId="2B7D1C2B" w14:textId="7D7719B6" w:rsidR="00D31FBB" w:rsidRPr="00A92CED" w:rsidRDefault="00D31FBB" w:rsidP="00D15EFA">
            <w:pPr>
              <w:rPr>
                <w:rFonts w:ascii="Calibri" w:hAnsi="Calibri" w:cs="Calibri"/>
                <w:b/>
                <w:bCs/>
                <w:lang w:val="fr-CA"/>
              </w:rPr>
            </w:pPr>
            <w:r w:rsidRPr="00A92CED">
              <w:rPr>
                <w:rFonts w:ascii="Calibri" w:hAnsi="Calibri" w:cs="Calibri"/>
                <w:b/>
                <w:bCs/>
                <w:lang w:val="fr-CA"/>
              </w:rPr>
              <w:t>NOUVEAU</w:t>
            </w:r>
          </w:p>
        </w:tc>
        <w:tc>
          <w:tcPr>
            <w:tcW w:w="4076" w:type="dxa"/>
          </w:tcPr>
          <w:p w14:paraId="45EDD543" w14:textId="5AA8AD4C" w:rsidR="00D31FBB" w:rsidRPr="00A92CED" w:rsidRDefault="00D31FBB" w:rsidP="00D15EFA">
            <w:pPr>
              <w:rPr>
                <w:lang w:val="fr-CA"/>
              </w:rPr>
            </w:pPr>
            <w:r w:rsidRPr="00A92CED">
              <w:rPr>
                <w:lang w:val="fr-CA"/>
              </w:rPr>
              <w:t xml:space="preserve">Modifier la nouvelle section 3 proposée de la partie 15 pour ajouter la nouvelle exigence ci-après visant les vendeurs : </w:t>
            </w:r>
          </w:p>
          <w:p w14:paraId="501B4687" w14:textId="6C103E44" w:rsidR="00D31FBB" w:rsidRPr="00A92CED" w:rsidRDefault="00D31FBB" w:rsidP="00D15EFA">
            <w:pPr>
              <w:pStyle w:val="ListParagraph"/>
              <w:numPr>
                <w:ilvl w:val="0"/>
                <w:numId w:val="28"/>
              </w:numPr>
              <w:rPr>
                <w:lang w:val="fr-CA"/>
              </w:rPr>
            </w:pPr>
            <w:r w:rsidRPr="00A92CED">
              <w:rPr>
                <w:rFonts w:eastAsiaTheme="minorEastAsia"/>
                <w:lang w:val="fr-CA"/>
              </w:rPr>
              <w:t>La quantité de moteurs de fusée, de trousses de rechargement et d’allumeurs que le vendeur peut vendre à un acheteur qui est titulaire d’une licence n’excède pas celle que celui-ci est autorisé à stocker selon sa licence.</w:t>
            </w:r>
          </w:p>
          <w:p w14:paraId="79AE75F5" w14:textId="2487EB7B" w:rsidR="00D31FBB" w:rsidRPr="00A92CED" w:rsidRDefault="00D31FBB" w:rsidP="00D15EFA">
            <w:pPr>
              <w:pStyle w:val="ListParagraph"/>
              <w:numPr>
                <w:ilvl w:val="0"/>
                <w:numId w:val="28"/>
              </w:numPr>
              <w:rPr>
                <w:lang w:val="fr-CA"/>
              </w:rPr>
            </w:pPr>
            <w:r w:rsidRPr="00A92CED">
              <w:rPr>
                <w:rFonts w:eastAsiaTheme="minorEastAsia"/>
                <w:lang w:val="fr-CA"/>
              </w:rPr>
              <w:t>La quantité de moteurs de fusée, de trousses de rechargement et d’allumeurs que le vendeur peut vendre à un acheteur qui n’est pas titulaire d’une licence n’excède pas celle que celui-ci est autorisé à stocker selon la présente section.</w:t>
            </w:r>
          </w:p>
        </w:tc>
        <w:tc>
          <w:tcPr>
            <w:tcW w:w="3143" w:type="dxa"/>
            <w:gridSpan w:val="2"/>
          </w:tcPr>
          <w:p w14:paraId="34F03E20" w14:textId="6FCBAD1B" w:rsidR="00D31FBB" w:rsidRPr="00A92CED" w:rsidRDefault="00D31FBB" w:rsidP="00D15EFA">
            <w:pPr>
              <w:rPr>
                <w:lang w:val="fr-CA"/>
              </w:rPr>
            </w:pPr>
            <w:r w:rsidRPr="00A92CED">
              <w:rPr>
                <w:lang w:val="fr-CA"/>
              </w:rPr>
              <w:t>Cet amendement proposé vise à appuyer l’ajout d’une nouvelle section 3 à la partie 15 pour prévoir les exigences applicables aux moteurs de fusée haute puissance avancés.</w:t>
            </w:r>
          </w:p>
        </w:tc>
        <w:tc>
          <w:tcPr>
            <w:tcW w:w="3087" w:type="dxa"/>
          </w:tcPr>
          <w:p w14:paraId="7F8C30DB" w14:textId="77777777" w:rsidR="00D31FBB" w:rsidRPr="00A92CED" w:rsidRDefault="00D31FBB" w:rsidP="00D15EFA">
            <w:pPr>
              <w:rPr>
                <w:lang w:val="fr-CA"/>
              </w:rPr>
            </w:pPr>
          </w:p>
        </w:tc>
      </w:tr>
      <w:tr w:rsidR="00A92CED" w:rsidRPr="00A92CED" w14:paraId="098E9F73" w14:textId="77777777" w:rsidTr="00E10233">
        <w:tc>
          <w:tcPr>
            <w:tcW w:w="3126" w:type="dxa"/>
          </w:tcPr>
          <w:p w14:paraId="3B905096" w14:textId="77777777" w:rsidR="00D31FBB" w:rsidRPr="00A92CED" w:rsidRDefault="00D31FBB" w:rsidP="00D15EFA">
            <w:pPr>
              <w:pStyle w:val="ListParagraph"/>
              <w:numPr>
                <w:ilvl w:val="0"/>
                <w:numId w:val="1"/>
              </w:numPr>
              <w:jc w:val="center"/>
              <w:rPr>
                <w:lang w:val="fr-CA"/>
              </w:rPr>
            </w:pPr>
          </w:p>
        </w:tc>
        <w:tc>
          <w:tcPr>
            <w:tcW w:w="3715" w:type="dxa"/>
          </w:tcPr>
          <w:p w14:paraId="2A705B44" w14:textId="5D226522" w:rsidR="00D31FBB" w:rsidRPr="00A92CED" w:rsidRDefault="00D31FBB" w:rsidP="00D15EFA">
            <w:pPr>
              <w:rPr>
                <w:rFonts w:ascii="Calibri" w:hAnsi="Calibri" w:cs="Calibri"/>
                <w:b/>
                <w:bCs/>
                <w:lang w:val="fr-CA"/>
              </w:rPr>
            </w:pPr>
            <w:r w:rsidRPr="00A92CED">
              <w:rPr>
                <w:rFonts w:ascii="Calibri" w:hAnsi="Calibri" w:cs="Calibri"/>
                <w:b/>
                <w:bCs/>
                <w:lang w:val="fr-CA"/>
              </w:rPr>
              <w:t>NOUVEAU</w:t>
            </w:r>
          </w:p>
        </w:tc>
        <w:tc>
          <w:tcPr>
            <w:tcW w:w="4076" w:type="dxa"/>
          </w:tcPr>
          <w:p w14:paraId="48D0B0FE" w14:textId="4C15DC6D" w:rsidR="00D31FBB" w:rsidRPr="00A92CED" w:rsidRDefault="00D31FBB" w:rsidP="00D15EFA">
            <w:pPr>
              <w:rPr>
                <w:lang w:val="fr-CA"/>
              </w:rPr>
            </w:pPr>
            <w:r w:rsidRPr="00A92CED">
              <w:rPr>
                <w:lang w:val="fr-CA"/>
              </w:rPr>
              <w:t xml:space="preserve">Modifier la nouvelle section 3 proposée de la partie 15 pour ajouter la nouvelle exigence ci-après visant les vendeurs : </w:t>
            </w:r>
          </w:p>
          <w:p w14:paraId="336A1233" w14:textId="2C354941" w:rsidR="00D31FBB" w:rsidRPr="00A92CED" w:rsidRDefault="00D31FBB" w:rsidP="00D15EFA">
            <w:pPr>
              <w:pStyle w:val="ListParagraph"/>
              <w:numPr>
                <w:ilvl w:val="0"/>
                <w:numId w:val="28"/>
              </w:numPr>
              <w:rPr>
                <w:lang w:val="fr-CA"/>
              </w:rPr>
            </w:pPr>
            <w:r w:rsidRPr="00A92CED">
              <w:rPr>
                <w:rFonts w:eastAsiaTheme="minorEastAsia"/>
                <w:lang w:val="fr-CA"/>
              </w:rPr>
              <w:t>Le détaillant ne peut vendre des moteurs de fusée, des trousses de rechargement et des allumeurs qu’à des utilisateurs.</w:t>
            </w:r>
          </w:p>
        </w:tc>
        <w:tc>
          <w:tcPr>
            <w:tcW w:w="3143" w:type="dxa"/>
            <w:gridSpan w:val="2"/>
          </w:tcPr>
          <w:p w14:paraId="074907D8" w14:textId="706C69DD" w:rsidR="00D31FBB" w:rsidRPr="00A92CED" w:rsidRDefault="00D31FBB" w:rsidP="00D15EFA">
            <w:pPr>
              <w:rPr>
                <w:lang w:val="fr-CA"/>
              </w:rPr>
            </w:pPr>
            <w:r w:rsidRPr="00A92CED">
              <w:rPr>
                <w:lang w:val="fr-CA"/>
              </w:rPr>
              <w:t>Cet amendement proposé vise à appuyer l’ajout d’une nouvelle section 3 à la partie 15 pour prévoir les exigences applicables aux moteurs de fusée haute puissance avancés.</w:t>
            </w:r>
          </w:p>
        </w:tc>
        <w:tc>
          <w:tcPr>
            <w:tcW w:w="3087" w:type="dxa"/>
          </w:tcPr>
          <w:p w14:paraId="17BEB0BA" w14:textId="77777777" w:rsidR="00D31FBB" w:rsidRPr="00A92CED" w:rsidRDefault="00D31FBB" w:rsidP="00D15EFA">
            <w:pPr>
              <w:rPr>
                <w:lang w:val="fr-CA"/>
              </w:rPr>
            </w:pPr>
          </w:p>
        </w:tc>
      </w:tr>
      <w:tr w:rsidR="00A92CED" w:rsidRPr="00A92CED" w14:paraId="422C0EF5" w14:textId="77777777" w:rsidTr="00E10233">
        <w:tc>
          <w:tcPr>
            <w:tcW w:w="3126" w:type="dxa"/>
          </w:tcPr>
          <w:p w14:paraId="3F87A404" w14:textId="77777777" w:rsidR="00D31FBB" w:rsidRPr="00A92CED" w:rsidRDefault="00D31FBB" w:rsidP="00D15EFA">
            <w:pPr>
              <w:pStyle w:val="ListParagraph"/>
              <w:numPr>
                <w:ilvl w:val="0"/>
                <w:numId w:val="1"/>
              </w:numPr>
              <w:jc w:val="center"/>
              <w:rPr>
                <w:lang w:val="fr-CA"/>
              </w:rPr>
            </w:pPr>
          </w:p>
        </w:tc>
        <w:tc>
          <w:tcPr>
            <w:tcW w:w="3715" w:type="dxa"/>
          </w:tcPr>
          <w:p w14:paraId="51AC11DB" w14:textId="0B8EB9AC" w:rsidR="00D31FBB" w:rsidRPr="00A92CED" w:rsidRDefault="00D31FBB" w:rsidP="00D15EFA">
            <w:pPr>
              <w:rPr>
                <w:rFonts w:ascii="Calibri" w:hAnsi="Calibri" w:cs="Calibri"/>
                <w:b/>
                <w:bCs/>
                <w:lang w:val="fr-CA"/>
              </w:rPr>
            </w:pPr>
            <w:r w:rsidRPr="00A92CED">
              <w:rPr>
                <w:rFonts w:ascii="Calibri" w:hAnsi="Calibri" w:cs="Calibri"/>
                <w:b/>
                <w:bCs/>
                <w:lang w:val="fr-CA"/>
              </w:rPr>
              <w:t>NOUVEAU</w:t>
            </w:r>
          </w:p>
        </w:tc>
        <w:tc>
          <w:tcPr>
            <w:tcW w:w="4076" w:type="dxa"/>
          </w:tcPr>
          <w:p w14:paraId="7FEFC698" w14:textId="247325FA" w:rsidR="00D31FBB" w:rsidRPr="00A92CED" w:rsidRDefault="00D31FBB" w:rsidP="00D15EFA">
            <w:pPr>
              <w:rPr>
                <w:lang w:val="fr-CA"/>
              </w:rPr>
            </w:pPr>
            <w:r w:rsidRPr="00A92CED">
              <w:rPr>
                <w:lang w:val="fr-CA"/>
              </w:rPr>
              <w:t xml:space="preserve">Modifier la nouvelle section 3 proposée de la partie 15 pour ajouter la nouvelle exigence ci-après visant les vendeurs : </w:t>
            </w:r>
          </w:p>
          <w:p w14:paraId="2CA2C47C" w14:textId="76DB7C78" w:rsidR="00D31FBB" w:rsidRPr="00A92CED" w:rsidRDefault="00D31FBB" w:rsidP="00D15EFA">
            <w:pPr>
              <w:pStyle w:val="ListParagraph"/>
              <w:numPr>
                <w:ilvl w:val="0"/>
                <w:numId w:val="28"/>
              </w:numPr>
              <w:rPr>
                <w:lang w:val="fr-CA"/>
              </w:rPr>
            </w:pPr>
            <w:r w:rsidRPr="00A92CED">
              <w:rPr>
                <w:rFonts w:eastAsiaTheme="minorEastAsia"/>
                <w:lang w:val="fr-CA"/>
              </w:rPr>
              <w:t>Le vendeur crée un dossier de chaque vente de moteur de fusée, de trousse de rechargement et d’allumeur et le conserve pendant deux ans après la date de la vente. Le dossier contient les renseignements suivants :</w:t>
            </w:r>
          </w:p>
          <w:p w14:paraId="7B5887E9" w14:textId="6BE8B8F6" w:rsidR="00D31FBB" w:rsidRPr="00A92CED" w:rsidRDefault="00D31FBB" w:rsidP="00D15EFA">
            <w:pPr>
              <w:pStyle w:val="ListParagraph"/>
              <w:numPr>
                <w:ilvl w:val="1"/>
                <w:numId w:val="28"/>
              </w:numPr>
              <w:rPr>
                <w:lang w:val="fr-CA"/>
              </w:rPr>
            </w:pPr>
            <w:r w:rsidRPr="00A92CED">
              <w:rPr>
                <w:rFonts w:eastAsiaTheme="minorEastAsia"/>
                <w:lang w:val="fr-CA"/>
              </w:rPr>
              <w:t>les nom et adresse de l’acheteur des moteurs, des trousses ou des allumeurs;</w:t>
            </w:r>
          </w:p>
          <w:p w14:paraId="0E62DEB3" w14:textId="3062C49E" w:rsidR="00D31FBB" w:rsidRPr="00A92CED" w:rsidRDefault="00D31FBB" w:rsidP="00D15EFA">
            <w:pPr>
              <w:pStyle w:val="ListParagraph"/>
              <w:numPr>
                <w:ilvl w:val="1"/>
                <w:numId w:val="28"/>
              </w:numPr>
              <w:rPr>
                <w:lang w:val="fr-CA"/>
              </w:rPr>
            </w:pPr>
            <w:r w:rsidRPr="00A92CED">
              <w:rPr>
                <w:rFonts w:eastAsiaTheme="minorEastAsia"/>
                <w:lang w:val="fr-CA"/>
              </w:rPr>
              <w:t>le cas échéant, le numéro et la date d’expiration de sa licence;</w:t>
            </w:r>
          </w:p>
          <w:p w14:paraId="02061F9F" w14:textId="06C78ECB" w:rsidR="00D31FBB" w:rsidRPr="00A92CED" w:rsidRDefault="00D31FBB" w:rsidP="00D15EFA">
            <w:pPr>
              <w:pStyle w:val="ListParagraph"/>
              <w:numPr>
                <w:ilvl w:val="1"/>
                <w:numId w:val="28"/>
              </w:numPr>
              <w:rPr>
                <w:lang w:val="fr-CA"/>
              </w:rPr>
            </w:pPr>
            <w:r w:rsidRPr="00A92CED">
              <w:rPr>
                <w:rFonts w:eastAsiaTheme="minorEastAsia"/>
                <w:lang w:val="fr-CA"/>
              </w:rPr>
              <w:t>le type, le nom de produit, le niveau de puissance de chaque moteur ou de chaque trousse vendu, ainsi que le nom du titulaire de l’autorisation du moteur ou de la trousse vendu;</w:t>
            </w:r>
          </w:p>
          <w:p w14:paraId="3FF7B8C8" w14:textId="4016F8D5" w:rsidR="00D31FBB" w:rsidRPr="00A92CED" w:rsidRDefault="00D31FBB" w:rsidP="00D15EFA">
            <w:pPr>
              <w:pStyle w:val="ListParagraph"/>
              <w:numPr>
                <w:ilvl w:val="1"/>
                <w:numId w:val="28"/>
              </w:numPr>
              <w:rPr>
                <w:lang w:val="fr-CA"/>
              </w:rPr>
            </w:pPr>
            <w:r w:rsidRPr="00A92CED">
              <w:rPr>
                <w:rFonts w:eastAsiaTheme="minorEastAsia"/>
                <w:lang w:val="fr-CA"/>
              </w:rPr>
              <w:t>le nom de produit de chaque allumeur vendu, ainsi que le nom du titulaire de l’autorisation de l’allumeur;</w:t>
            </w:r>
          </w:p>
          <w:p w14:paraId="1D7895F8" w14:textId="6D7E2D1C" w:rsidR="00D31FBB" w:rsidRPr="00A92CED" w:rsidRDefault="00D31FBB" w:rsidP="00D15EFA">
            <w:pPr>
              <w:pStyle w:val="ListParagraph"/>
              <w:numPr>
                <w:ilvl w:val="1"/>
                <w:numId w:val="28"/>
              </w:numPr>
              <w:rPr>
                <w:lang w:val="fr-CA"/>
              </w:rPr>
            </w:pPr>
            <w:r w:rsidRPr="00A92CED">
              <w:rPr>
                <w:rFonts w:eastAsiaTheme="minorEastAsia"/>
                <w:lang w:val="fr-CA"/>
              </w:rPr>
              <w:t xml:space="preserve">pour chaque nom de produit de moteur, de </w:t>
            </w:r>
            <w:r w:rsidRPr="00A92CED">
              <w:rPr>
                <w:rFonts w:eastAsiaTheme="minorEastAsia"/>
                <w:lang w:val="fr-CA"/>
              </w:rPr>
              <w:lastRenderedPageBreak/>
              <w:t>trousse et d’allumeur, le nombre vendu;</w:t>
            </w:r>
          </w:p>
          <w:p w14:paraId="5135E7AF" w14:textId="608721EA" w:rsidR="00D31FBB" w:rsidRPr="00A92CED" w:rsidRDefault="00D31FBB" w:rsidP="00D15EFA">
            <w:pPr>
              <w:pStyle w:val="ListParagraph"/>
              <w:numPr>
                <w:ilvl w:val="1"/>
                <w:numId w:val="28"/>
              </w:numPr>
              <w:rPr>
                <w:lang w:val="fr-CA"/>
              </w:rPr>
            </w:pPr>
            <w:r w:rsidRPr="00A92CED">
              <w:rPr>
                <w:rFonts w:eastAsiaTheme="minorEastAsia"/>
                <w:lang w:val="fr-CA"/>
              </w:rPr>
              <w:t>la date de la vente.</w:t>
            </w:r>
          </w:p>
        </w:tc>
        <w:tc>
          <w:tcPr>
            <w:tcW w:w="3143" w:type="dxa"/>
            <w:gridSpan w:val="2"/>
          </w:tcPr>
          <w:p w14:paraId="1C05F859" w14:textId="1AE7650D" w:rsidR="00D31FBB" w:rsidRPr="00A92CED" w:rsidRDefault="00D31FBB" w:rsidP="00D15EFA">
            <w:pPr>
              <w:rPr>
                <w:lang w:val="fr-CA"/>
              </w:rPr>
            </w:pPr>
            <w:r w:rsidRPr="00A92CED">
              <w:rPr>
                <w:lang w:val="fr-CA"/>
              </w:rPr>
              <w:lastRenderedPageBreak/>
              <w:t>Cet amendement proposé vise à appuyer l’ajout d’une nouvelle section 3 à la partie 15 pour prévoir les exigences applicables aux moteurs de fusée haute puissance avancés.</w:t>
            </w:r>
          </w:p>
        </w:tc>
        <w:tc>
          <w:tcPr>
            <w:tcW w:w="3087" w:type="dxa"/>
          </w:tcPr>
          <w:p w14:paraId="2C1524A8" w14:textId="77777777" w:rsidR="00D31FBB" w:rsidRPr="00A92CED" w:rsidRDefault="00D31FBB" w:rsidP="00D15EFA">
            <w:pPr>
              <w:rPr>
                <w:lang w:val="fr-CA"/>
              </w:rPr>
            </w:pPr>
          </w:p>
        </w:tc>
      </w:tr>
      <w:tr w:rsidR="00A92CED" w:rsidRPr="00A92CED" w14:paraId="1B2FFF32" w14:textId="77777777" w:rsidTr="00E10233">
        <w:tc>
          <w:tcPr>
            <w:tcW w:w="3126" w:type="dxa"/>
          </w:tcPr>
          <w:p w14:paraId="2FEE7F8A" w14:textId="77777777" w:rsidR="00D31FBB" w:rsidRPr="00A92CED" w:rsidRDefault="00D31FBB" w:rsidP="00D15EFA">
            <w:pPr>
              <w:pStyle w:val="ListParagraph"/>
              <w:numPr>
                <w:ilvl w:val="0"/>
                <w:numId w:val="1"/>
              </w:numPr>
              <w:jc w:val="center"/>
              <w:rPr>
                <w:lang w:val="fr-CA"/>
              </w:rPr>
            </w:pPr>
          </w:p>
        </w:tc>
        <w:tc>
          <w:tcPr>
            <w:tcW w:w="3715" w:type="dxa"/>
          </w:tcPr>
          <w:p w14:paraId="6B9FABDE" w14:textId="7D75B9AC" w:rsidR="00D31FBB" w:rsidRPr="00A92CED" w:rsidRDefault="00D31FBB" w:rsidP="00D15EFA">
            <w:pPr>
              <w:rPr>
                <w:rFonts w:ascii="Calibri" w:hAnsi="Calibri" w:cs="Calibri"/>
                <w:b/>
                <w:bCs/>
                <w:lang w:val="fr-CA"/>
              </w:rPr>
            </w:pPr>
            <w:r w:rsidRPr="00A92CED">
              <w:rPr>
                <w:rFonts w:ascii="Calibri" w:hAnsi="Calibri" w:cs="Calibri"/>
                <w:b/>
                <w:bCs/>
                <w:lang w:val="fr-CA"/>
              </w:rPr>
              <w:t>NOUVEAU</w:t>
            </w:r>
          </w:p>
        </w:tc>
        <w:tc>
          <w:tcPr>
            <w:tcW w:w="4076" w:type="dxa"/>
          </w:tcPr>
          <w:p w14:paraId="7D4384B8" w14:textId="10E1F6AC" w:rsidR="00D31FBB" w:rsidRPr="00A92CED" w:rsidRDefault="00D31FBB" w:rsidP="00D15EFA">
            <w:pPr>
              <w:rPr>
                <w:lang w:val="fr-CA"/>
              </w:rPr>
            </w:pPr>
            <w:r w:rsidRPr="00A92CED">
              <w:rPr>
                <w:lang w:val="fr-CA"/>
              </w:rPr>
              <w:t xml:space="preserve">Modifier la nouvelle section 3 proposée de la partie 15 pour ajouter la nouvelle exigence ci-après visant les vendeurs : </w:t>
            </w:r>
          </w:p>
          <w:p w14:paraId="67916293" w14:textId="6B7DFA61" w:rsidR="00D31FBB" w:rsidRPr="00A92CED" w:rsidRDefault="00D31FBB" w:rsidP="00D15EFA">
            <w:pPr>
              <w:pStyle w:val="ListParagraph"/>
              <w:numPr>
                <w:ilvl w:val="0"/>
                <w:numId w:val="28"/>
              </w:numPr>
              <w:rPr>
                <w:lang w:val="fr-CA"/>
              </w:rPr>
            </w:pPr>
            <w:r w:rsidRPr="00A92CED">
              <w:rPr>
                <w:rFonts w:eastAsiaTheme="minorEastAsia"/>
                <w:lang w:val="fr-CA"/>
              </w:rPr>
              <w:t>Les moteurs de fusée, les trousses de rechargement et les allumeurs sont surveillés lorsqu’ils ne sont pas stockés.</w:t>
            </w:r>
          </w:p>
        </w:tc>
        <w:tc>
          <w:tcPr>
            <w:tcW w:w="3143" w:type="dxa"/>
            <w:gridSpan w:val="2"/>
          </w:tcPr>
          <w:p w14:paraId="4F7F9637" w14:textId="797C68CA" w:rsidR="00D31FBB" w:rsidRPr="00A92CED" w:rsidRDefault="00D31FBB" w:rsidP="00D15EFA">
            <w:pPr>
              <w:rPr>
                <w:lang w:val="fr-CA"/>
              </w:rPr>
            </w:pPr>
            <w:r w:rsidRPr="00A92CED">
              <w:rPr>
                <w:lang w:val="fr-CA"/>
              </w:rPr>
              <w:t>Cet amendement proposé vise à appuyer l’ajout d’une nouvelle section 3 à la partie 15 pour prévoir les exigences applicables aux moteurs de fusée haute puissance avancés.</w:t>
            </w:r>
          </w:p>
        </w:tc>
        <w:tc>
          <w:tcPr>
            <w:tcW w:w="3087" w:type="dxa"/>
          </w:tcPr>
          <w:p w14:paraId="6CB29CA3" w14:textId="77777777" w:rsidR="00D31FBB" w:rsidRPr="00A92CED" w:rsidRDefault="00D31FBB" w:rsidP="00D15EFA">
            <w:pPr>
              <w:rPr>
                <w:lang w:val="fr-CA"/>
              </w:rPr>
            </w:pPr>
          </w:p>
        </w:tc>
      </w:tr>
      <w:tr w:rsidR="00A92CED" w:rsidRPr="00A92CED" w14:paraId="51116A6E" w14:textId="77777777" w:rsidTr="00E10233">
        <w:tc>
          <w:tcPr>
            <w:tcW w:w="3126" w:type="dxa"/>
          </w:tcPr>
          <w:p w14:paraId="1B5DDCE2" w14:textId="77777777" w:rsidR="00D31FBB" w:rsidRPr="00A92CED" w:rsidRDefault="00D31FBB" w:rsidP="00D15EFA">
            <w:pPr>
              <w:pStyle w:val="ListParagraph"/>
              <w:numPr>
                <w:ilvl w:val="0"/>
                <w:numId w:val="1"/>
              </w:numPr>
              <w:jc w:val="center"/>
              <w:rPr>
                <w:lang w:val="fr-CA"/>
              </w:rPr>
            </w:pPr>
          </w:p>
        </w:tc>
        <w:tc>
          <w:tcPr>
            <w:tcW w:w="3715" w:type="dxa"/>
          </w:tcPr>
          <w:p w14:paraId="7AEF9B05" w14:textId="2860F28C" w:rsidR="00D31FBB" w:rsidRPr="00A92CED" w:rsidRDefault="00D31FBB" w:rsidP="00D15EFA">
            <w:pPr>
              <w:rPr>
                <w:rFonts w:ascii="Calibri" w:hAnsi="Calibri" w:cs="Calibri"/>
                <w:b/>
                <w:bCs/>
                <w:lang w:val="fr-CA"/>
              </w:rPr>
            </w:pPr>
            <w:r w:rsidRPr="00A92CED">
              <w:rPr>
                <w:rFonts w:ascii="Calibri" w:hAnsi="Calibri" w:cs="Calibri"/>
                <w:b/>
                <w:bCs/>
                <w:lang w:val="fr-CA"/>
              </w:rPr>
              <w:t>NOUVEAU</w:t>
            </w:r>
          </w:p>
        </w:tc>
        <w:tc>
          <w:tcPr>
            <w:tcW w:w="4076" w:type="dxa"/>
          </w:tcPr>
          <w:p w14:paraId="0451BC92" w14:textId="0D281F3B" w:rsidR="00D31FBB" w:rsidRPr="00A92CED" w:rsidRDefault="00D31FBB" w:rsidP="00D15EFA">
            <w:pPr>
              <w:rPr>
                <w:lang w:val="fr-CA"/>
              </w:rPr>
            </w:pPr>
            <w:r w:rsidRPr="00A92CED">
              <w:rPr>
                <w:lang w:val="fr-CA"/>
              </w:rPr>
              <w:t xml:space="preserve">Modifier la nouvelle section 3 proposée de la partie 15 pour ajouter la nouvelle exigence ci-après visant les utilisateurs : </w:t>
            </w:r>
          </w:p>
          <w:p w14:paraId="551B159D" w14:textId="502E7DA7" w:rsidR="00D31FBB" w:rsidRPr="00A92CED" w:rsidRDefault="00D31FBB" w:rsidP="00D15EFA">
            <w:pPr>
              <w:pStyle w:val="ListParagraph"/>
              <w:numPr>
                <w:ilvl w:val="0"/>
                <w:numId w:val="28"/>
              </w:numPr>
              <w:rPr>
                <w:lang w:val="fr-CA"/>
              </w:rPr>
            </w:pPr>
            <w:r w:rsidRPr="00A92CED">
              <w:rPr>
                <w:rFonts w:eastAsiaTheme="minorEastAsia"/>
                <w:lang w:val="fr-CA"/>
              </w:rPr>
              <w:t>L’utilisateur peut acquérir et stocker des moteurs de fusée, des trousses de rechargement et des allumeurs, avec ou sans licence. L’utilisateur qui acquiert de tels moteurs, de telles trousses ou de tels allumeurs se conforme à la présente section.</w:t>
            </w:r>
          </w:p>
        </w:tc>
        <w:tc>
          <w:tcPr>
            <w:tcW w:w="3143" w:type="dxa"/>
            <w:gridSpan w:val="2"/>
          </w:tcPr>
          <w:p w14:paraId="0B18F930" w14:textId="313C8819" w:rsidR="00D31FBB" w:rsidRPr="00A92CED" w:rsidRDefault="00D31FBB" w:rsidP="00D15EFA">
            <w:pPr>
              <w:rPr>
                <w:lang w:val="fr-CA"/>
              </w:rPr>
            </w:pPr>
            <w:r w:rsidRPr="00A92CED">
              <w:rPr>
                <w:lang w:val="fr-CA"/>
              </w:rPr>
              <w:t>Cet amendement proposé vise à appuyer l’ajout d’une nouvelle section 3 à la partie 15 pour prévoir les exigences applicables aux moteurs de fusée haute puissance avancés.</w:t>
            </w:r>
          </w:p>
        </w:tc>
        <w:tc>
          <w:tcPr>
            <w:tcW w:w="3087" w:type="dxa"/>
          </w:tcPr>
          <w:p w14:paraId="581C4F0C" w14:textId="77777777" w:rsidR="00D31FBB" w:rsidRPr="00A92CED" w:rsidRDefault="00D31FBB" w:rsidP="00D15EFA">
            <w:pPr>
              <w:rPr>
                <w:lang w:val="fr-CA"/>
              </w:rPr>
            </w:pPr>
          </w:p>
        </w:tc>
      </w:tr>
      <w:tr w:rsidR="00A92CED" w:rsidRPr="00A92CED" w14:paraId="3F21D1C0" w14:textId="77777777" w:rsidTr="00E10233">
        <w:tc>
          <w:tcPr>
            <w:tcW w:w="3126" w:type="dxa"/>
          </w:tcPr>
          <w:p w14:paraId="242CED75" w14:textId="77777777" w:rsidR="00D31FBB" w:rsidRPr="00A92CED" w:rsidRDefault="00D31FBB" w:rsidP="00D15EFA">
            <w:pPr>
              <w:pStyle w:val="ListParagraph"/>
              <w:numPr>
                <w:ilvl w:val="0"/>
                <w:numId w:val="1"/>
              </w:numPr>
              <w:jc w:val="center"/>
              <w:rPr>
                <w:lang w:val="fr-CA"/>
              </w:rPr>
            </w:pPr>
          </w:p>
        </w:tc>
        <w:tc>
          <w:tcPr>
            <w:tcW w:w="3715" w:type="dxa"/>
          </w:tcPr>
          <w:p w14:paraId="6A9E5FC4" w14:textId="2A45B077" w:rsidR="00D31FBB" w:rsidRPr="00A92CED" w:rsidRDefault="00D31FBB" w:rsidP="00D15EFA">
            <w:pPr>
              <w:rPr>
                <w:rFonts w:ascii="Calibri" w:hAnsi="Calibri" w:cs="Calibri"/>
                <w:b/>
                <w:bCs/>
                <w:lang w:val="fr-CA"/>
              </w:rPr>
            </w:pPr>
            <w:r w:rsidRPr="00A92CED">
              <w:rPr>
                <w:rFonts w:ascii="Calibri" w:hAnsi="Calibri" w:cs="Calibri"/>
                <w:b/>
                <w:bCs/>
                <w:lang w:val="fr-CA"/>
              </w:rPr>
              <w:t>NOUVEAU</w:t>
            </w:r>
          </w:p>
        </w:tc>
        <w:tc>
          <w:tcPr>
            <w:tcW w:w="4076" w:type="dxa"/>
          </w:tcPr>
          <w:p w14:paraId="4E54792F" w14:textId="03801054" w:rsidR="00D31FBB" w:rsidRPr="00A92CED" w:rsidRDefault="00D31FBB" w:rsidP="00D15EFA">
            <w:pPr>
              <w:rPr>
                <w:lang w:val="fr-CA"/>
              </w:rPr>
            </w:pPr>
            <w:r w:rsidRPr="00A92CED">
              <w:rPr>
                <w:lang w:val="fr-CA"/>
              </w:rPr>
              <w:t xml:space="preserve">Modifier la nouvelle section 3 proposée de la partie 15 pour ajouter la nouvelle exigence ci-après visant les utilisateurs : </w:t>
            </w:r>
          </w:p>
          <w:p w14:paraId="19B9DCEA" w14:textId="0D201119" w:rsidR="00D31FBB" w:rsidRPr="00A92CED" w:rsidRDefault="00D31FBB" w:rsidP="00D15EFA">
            <w:pPr>
              <w:pStyle w:val="ListParagraph"/>
              <w:numPr>
                <w:ilvl w:val="0"/>
                <w:numId w:val="28"/>
              </w:numPr>
              <w:rPr>
                <w:lang w:val="fr-CA"/>
              </w:rPr>
            </w:pPr>
            <w:r w:rsidRPr="00A92CED">
              <w:rPr>
                <w:rFonts w:eastAsiaTheme="minorEastAsia"/>
                <w:lang w:val="fr-CA"/>
              </w:rPr>
              <w:t>L’utilisateur qui est titulaire d’une licence stocke ses moteurs de fusée, ses trousses de rechargement et ses allumeurs dans la poudrière mentionnée dans sa licence.</w:t>
            </w:r>
          </w:p>
          <w:p w14:paraId="58CCE03B" w14:textId="379662C3" w:rsidR="00D31FBB" w:rsidRPr="00A92CED" w:rsidRDefault="00D31FBB" w:rsidP="00D15EFA">
            <w:pPr>
              <w:pStyle w:val="ListParagraph"/>
              <w:numPr>
                <w:ilvl w:val="0"/>
                <w:numId w:val="28"/>
              </w:numPr>
              <w:rPr>
                <w:lang w:val="fr-CA"/>
              </w:rPr>
            </w:pPr>
            <w:r w:rsidRPr="00A92CED">
              <w:rPr>
                <w:rFonts w:eastAsiaTheme="minorEastAsia"/>
                <w:lang w:val="fr-CA"/>
              </w:rPr>
              <w:t xml:space="preserve">L’utilisateur qui n’est pas titulaire d’une licence stocke ses moteurs de fusée, ses trousses de </w:t>
            </w:r>
            <w:r w:rsidRPr="00A92CED">
              <w:rPr>
                <w:rFonts w:eastAsiaTheme="minorEastAsia"/>
                <w:lang w:val="fr-CA"/>
              </w:rPr>
              <w:lastRenderedPageBreak/>
              <w:t>rechargement et ses allumeurs dans une unité de stockage et veille à ce que les exigences prévues aux articles visés par les amendements proposés aux points 138 et 139 du présent document de consultation soient respectées.</w:t>
            </w:r>
          </w:p>
        </w:tc>
        <w:tc>
          <w:tcPr>
            <w:tcW w:w="3143" w:type="dxa"/>
            <w:gridSpan w:val="2"/>
          </w:tcPr>
          <w:p w14:paraId="46C32534" w14:textId="0AB6DDC7" w:rsidR="00D31FBB" w:rsidRPr="00A92CED" w:rsidRDefault="00D31FBB" w:rsidP="00D15EFA">
            <w:pPr>
              <w:rPr>
                <w:lang w:val="fr-CA"/>
              </w:rPr>
            </w:pPr>
            <w:r w:rsidRPr="00A92CED">
              <w:rPr>
                <w:lang w:val="fr-CA"/>
              </w:rPr>
              <w:lastRenderedPageBreak/>
              <w:t>Cet amendement proposé vise à appuyer l’ajout d’une nouvelle section 3 à la partie 15 pour prévoir les exigences applicables aux moteurs de fusée haute puissance avancés.</w:t>
            </w:r>
          </w:p>
        </w:tc>
        <w:tc>
          <w:tcPr>
            <w:tcW w:w="3087" w:type="dxa"/>
          </w:tcPr>
          <w:p w14:paraId="477719B3" w14:textId="77777777" w:rsidR="00D31FBB" w:rsidRPr="00A92CED" w:rsidRDefault="00D31FBB" w:rsidP="00D15EFA">
            <w:pPr>
              <w:rPr>
                <w:lang w:val="fr-CA"/>
              </w:rPr>
            </w:pPr>
          </w:p>
        </w:tc>
      </w:tr>
      <w:tr w:rsidR="00A92CED" w:rsidRPr="00A92CED" w14:paraId="512877AB" w14:textId="77777777" w:rsidTr="00E10233">
        <w:tc>
          <w:tcPr>
            <w:tcW w:w="3126" w:type="dxa"/>
          </w:tcPr>
          <w:p w14:paraId="0F7897E8" w14:textId="77777777" w:rsidR="00D31FBB" w:rsidRPr="00A92CED" w:rsidRDefault="00D31FBB" w:rsidP="00D15EFA">
            <w:pPr>
              <w:pStyle w:val="ListParagraph"/>
              <w:numPr>
                <w:ilvl w:val="0"/>
                <w:numId w:val="1"/>
              </w:numPr>
              <w:jc w:val="center"/>
              <w:rPr>
                <w:lang w:val="fr-CA"/>
              </w:rPr>
            </w:pPr>
          </w:p>
        </w:tc>
        <w:tc>
          <w:tcPr>
            <w:tcW w:w="3715" w:type="dxa"/>
          </w:tcPr>
          <w:p w14:paraId="20685B00" w14:textId="4E8F8345" w:rsidR="00D31FBB" w:rsidRPr="00A92CED" w:rsidRDefault="00D31FBB" w:rsidP="00D15EFA">
            <w:pPr>
              <w:rPr>
                <w:rFonts w:ascii="Calibri" w:hAnsi="Calibri" w:cs="Calibri"/>
                <w:b/>
                <w:bCs/>
                <w:lang w:val="fr-CA"/>
              </w:rPr>
            </w:pPr>
            <w:r w:rsidRPr="00A92CED">
              <w:rPr>
                <w:rFonts w:ascii="Calibri" w:hAnsi="Calibri" w:cs="Calibri"/>
                <w:b/>
                <w:bCs/>
                <w:lang w:val="fr-CA"/>
              </w:rPr>
              <w:t>NOUVEAU</w:t>
            </w:r>
          </w:p>
        </w:tc>
        <w:tc>
          <w:tcPr>
            <w:tcW w:w="4076" w:type="dxa"/>
          </w:tcPr>
          <w:p w14:paraId="633BFD26" w14:textId="168493D6" w:rsidR="00D31FBB" w:rsidRPr="00A92CED" w:rsidRDefault="00D31FBB" w:rsidP="00D15EFA">
            <w:pPr>
              <w:rPr>
                <w:lang w:val="fr-CA"/>
              </w:rPr>
            </w:pPr>
            <w:r w:rsidRPr="00A92CED">
              <w:rPr>
                <w:lang w:val="fr-CA"/>
              </w:rPr>
              <w:t xml:space="preserve">Modifier la nouvelle section 3 proposée de la partie 15 pour ajouter les nouvelles exigences ci-après visant les utilisateurs qui ne sont pas titulaires d’une licence : </w:t>
            </w:r>
          </w:p>
          <w:p w14:paraId="0F6B90F8" w14:textId="4321002D" w:rsidR="00D31FBB" w:rsidRPr="00A92CED" w:rsidRDefault="00D31FBB" w:rsidP="00D15EFA">
            <w:pPr>
              <w:pStyle w:val="ListParagraph"/>
              <w:numPr>
                <w:ilvl w:val="0"/>
                <w:numId w:val="28"/>
              </w:numPr>
              <w:rPr>
                <w:lang w:val="fr-CA"/>
              </w:rPr>
            </w:pPr>
            <w:r w:rsidRPr="00A92CED">
              <w:rPr>
                <w:rFonts w:eastAsiaTheme="minorEastAsia"/>
                <w:lang w:val="fr-CA"/>
              </w:rPr>
              <w:t>Au plus 20 kg de moteurs de fusée haute puissance avancés peuvent être stockés à tout moment.</w:t>
            </w:r>
          </w:p>
          <w:p w14:paraId="5E77DFEC" w14:textId="5DB893C2" w:rsidR="00D31FBB" w:rsidRPr="00A92CED" w:rsidRDefault="00D31FBB" w:rsidP="00D15EFA">
            <w:pPr>
              <w:pStyle w:val="ListParagraph"/>
              <w:numPr>
                <w:ilvl w:val="0"/>
                <w:numId w:val="28"/>
              </w:numPr>
              <w:rPr>
                <w:lang w:val="fr-CA"/>
              </w:rPr>
            </w:pPr>
            <w:r w:rsidRPr="00A92CED">
              <w:rPr>
                <w:rFonts w:eastAsiaTheme="minorEastAsia"/>
                <w:lang w:val="fr-CA"/>
              </w:rPr>
              <w:t>Il est interdit de stocker une fusée haute puissance avancée munie de son moteur.</w:t>
            </w:r>
          </w:p>
        </w:tc>
        <w:tc>
          <w:tcPr>
            <w:tcW w:w="3143" w:type="dxa"/>
            <w:gridSpan w:val="2"/>
          </w:tcPr>
          <w:p w14:paraId="37D6412B" w14:textId="75E9C986" w:rsidR="00D31FBB" w:rsidRPr="00A92CED" w:rsidRDefault="00D31FBB" w:rsidP="00D15EFA">
            <w:pPr>
              <w:rPr>
                <w:lang w:val="fr-CA"/>
              </w:rPr>
            </w:pPr>
            <w:r w:rsidRPr="00A92CED">
              <w:rPr>
                <w:lang w:val="fr-CA"/>
              </w:rPr>
              <w:t>Cet amendement proposé vise à appuyer l’ajout d’une nouvelle section 3 à la partie 15 pour prévoir les exigences applicables aux moteurs de fusée haute puissance avancés.</w:t>
            </w:r>
          </w:p>
        </w:tc>
        <w:tc>
          <w:tcPr>
            <w:tcW w:w="3087" w:type="dxa"/>
          </w:tcPr>
          <w:p w14:paraId="318EDFB2" w14:textId="77777777" w:rsidR="00D31FBB" w:rsidRPr="00A92CED" w:rsidRDefault="00D31FBB" w:rsidP="00D15EFA">
            <w:pPr>
              <w:rPr>
                <w:lang w:val="fr-CA"/>
              </w:rPr>
            </w:pPr>
          </w:p>
        </w:tc>
      </w:tr>
      <w:tr w:rsidR="00A92CED" w:rsidRPr="00A92CED" w14:paraId="573BA115" w14:textId="77777777" w:rsidTr="00E10233">
        <w:tc>
          <w:tcPr>
            <w:tcW w:w="3126" w:type="dxa"/>
          </w:tcPr>
          <w:p w14:paraId="1883CA51" w14:textId="77777777" w:rsidR="00D31FBB" w:rsidRPr="00A92CED" w:rsidRDefault="00D31FBB" w:rsidP="00D15EFA">
            <w:pPr>
              <w:pStyle w:val="ListParagraph"/>
              <w:numPr>
                <w:ilvl w:val="0"/>
                <w:numId w:val="1"/>
              </w:numPr>
              <w:jc w:val="center"/>
              <w:rPr>
                <w:lang w:val="fr-CA"/>
              </w:rPr>
            </w:pPr>
          </w:p>
        </w:tc>
        <w:tc>
          <w:tcPr>
            <w:tcW w:w="3715" w:type="dxa"/>
          </w:tcPr>
          <w:p w14:paraId="12F54E2F" w14:textId="72ABD730" w:rsidR="00D31FBB" w:rsidRPr="00A92CED" w:rsidRDefault="00D31FBB" w:rsidP="00D15EFA">
            <w:pPr>
              <w:rPr>
                <w:rFonts w:ascii="Calibri" w:hAnsi="Calibri" w:cs="Calibri"/>
                <w:b/>
                <w:bCs/>
                <w:lang w:val="fr-CA"/>
              </w:rPr>
            </w:pPr>
            <w:r w:rsidRPr="00A92CED">
              <w:rPr>
                <w:rFonts w:ascii="Calibri" w:hAnsi="Calibri" w:cs="Calibri"/>
                <w:b/>
                <w:bCs/>
                <w:lang w:val="fr-CA"/>
              </w:rPr>
              <w:t>NOUVEAU</w:t>
            </w:r>
          </w:p>
        </w:tc>
        <w:tc>
          <w:tcPr>
            <w:tcW w:w="4076" w:type="dxa"/>
          </w:tcPr>
          <w:p w14:paraId="4C7EE4AF" w14:textId="04A8BEA5" w:rsidR="00D31FBB" w:rsidRPr="00A92CED" w:rsidRDefault="00D31FBB" w:rsidP="00D15EFA">
            <w:pPr>
              <w:rPr>
                <w:lang w:val="fr-CA"/>
              </w:rPr>
            </w:pPr>
            <w:r w:rsidRPr="00A92CED">
              <w:rPr>
                <w:lang w:val="fr-CA"/>
              </w:rPr>
              <w:t xml:space="preserve">Modifier la nouvelle section 3 proposée de la partie 15 pour ajouter les nouvelles exigences ci-après visant les utilisateurs qui ne sont pas titulaires d’une licence : </w:t>
            </w:r>
          </w:p>
          <w:p w14:paraId="3B17E817" w14:textId="04BAC0A4" w:rsidR="00D31FBB" w:rsidRPr="00A92CED" w:rsidRDefault="00D31FBB" w:rsidP="00D15EFA">
            <w:pPr>
              <w:pStyle w:val="ListParagraph"/>
              <w:numPr>
                <w:ilvl w:val="0"/>
                <w:numId w:val="28"/>
              </w:numPr>
              <w:rPr>
                <w:rFonts w:eastAsiaTheme="minorEastAsia"/>
                <w:lang w:val="fr-CA"/>
              </w:rPr>
            </w:pPr>
            <w:r w:rsidRPr="00A92CED">
              <w:rPr>
                <w:rFonts w:eastAsiaTheme="minorEastAsia"/>
                <w:lang w:val="fr-CA"/>
              </w:rPr>
              <w:t xml:space="preserve">L’unité de stockage où sont stockés des moteurs de fusée haute puissance avancés satisfait aux exigences suivantes : </w:t>
            </w:r>
          </w:p>
          <w:p w14:paraId="1F2F7E05" w14:textId="44BD3769" w:rsidR="00D31FBB" w:rsidRPr="00A92CED" w:rsidRDefault="00D31FBB" w:rsidP="00D15EFA">
            <w:pPr>
              <w:pStyle w:val="ListParagraph"/>
              <w:numPr>
                <w:ilvl w:val="1"/>
                <w:numId w:val="28"/>
              </w:numPr>
              <w:rPr>
                <w:rFonts w:eastAsiaTheme="minorEastAsia"/>
                <w:lang w:val="fr-CA"/>
              </w:rPr>
            </w:pPr>
            <w:r w:rsidRPr="00A92CED">
              <w:rPr>
                <w:rFonts w:eastAsiaTheme="minorEastAsia"/>
                <w:lang w:val="fr-CA"/>
              </w:rPr>
              <w:t>l’unité est située dans un endroit éloigné de toute matière inflammable et de toute source d’allumage;</w:t>
            </w:r>
          </w:p>
          <w:p w14:paraId="7C023A1D" w14:textId="1FC7CF41" w:rsidR="00D31FBB" w:rsidRPr="00A92CED" w:rsidRDefault="00D31FBB" w:rsidP="00D15EFA">
            <w:pPr>
              <w:pStyle w:val="ListParagraph"/>
              <w:numPr>
                <w:ilvl w:val="1"/>
                <w:numId w:val="28"/>
              </w:numPr>
              <w:rPr>
                <w:rFonts w:eastAsiaTheme="minorEastAsia"/>
                <w:lang w:val="fr-CA"/>
              </w:rPr>
            </w:pPr>
            <w:r w:rsidRPr="00A92CED">
              <w:rPr>
                <w:rFonts w:eastAsiaTheme="minorEastAsia"/>
                <w:lang w:val="fr-CA"/>
              </w:rPr>
              <w:t xml:space="preserve">l’intérieur de l’unité de stockage est tenu propre et sec; </w:t>
            </w:r>
          </w:p>
          <w:p w14:paraId="7C7C627E" w14:textId="50B72676" w:rsidR="00D31FBB" w:rsidRPr="00A92CED" w:rsidRDefault="00D31FBB" w:rsidP="00D15EFA">
            <w:pPr>
              <w:pStyle w:val="ListParagraph"/>
              <w:numPr>
                <w:ilvl w:val="1"/>
                <w:numId w:val="28"/>
              </w:numPr>
              <w:rPr>
                <w:rFonts w:eastAsiaTheme="minorEastAsia"/>
                <w:lang w:val="fr-CA"/>
              </w:rPr>
            </w:pPr>
            <w:r w:rsidRPr="00A92CED">
              <w:rPr>
                <w:rFonts w:eastAsiaTheme="minorEastAsia"/>
                <w:lang w:val="fr-CA"/>
              </w:rPr>
              <w:lastRenderedPageBreak/>
              <w:t>elle est construite et entretenue de façon à empêcher tout accès non autorisé et à protéger son contenu des intempéries;</w:t>
            </w:r>
          </w:p>
          <w:p w14:paraId="4ADB74A2" w14:textId="0017B1C5" w:rsidR="00D31FBB" w:rsidRPr="00A92CED" w:rsidRDefault="00D31FBB" w:rsidP="00D15EFA">
            <w:pPr>
              <w:pStyle w:val="ListParagraph"/>
              <w:numPr>
                <w:ilvl w:val="1"/>
                <w:numId w:val="28"/>
              </w:numPr>
              <w:rPr>
                <w:rFonts w:eastAsiaTheme="minorEastAsia"/>
                <w:lang w:val="fr-CA"/>
              </w:rPr>
            </w:pPr>
            <w:r w:rsidRPr="00A92CED">
              <w:rPr>
                <w:rFonts w:eastAsiaTheme="minorEastAsia"/>
                <w:lang w:val="fr-CA"/>
              </w:rPr>
              <w:t xml:space="preserve">l’unité est surveillée lorsqu’elle est déverrouillée; </w:t>
            </w:r>
          </w:p>
          <w:p w14:paraId="6016443D" w14:textId="32F04458" w:rsidR="00D31FBB" w:rsidRPr="00A92CED" w:rsidRDefault="00D31FBB" w:rsidP="00D15EFA">
            <w:pPr>
              <w:pStyle w:val="ListParagraph"/>
              <w:numPr>
                <w:ilvl w:val="1"/>
                <w:numId w:val="28"/>
              </w:numPr>
              <w:rPr>
                <w:rFonts w:eastAsiaTheme="minorEastAsia"/>
                <w:lang w:val="fr-CA"/>
              </w:rPr>
            </w:pPr>
            <w:r w:rsidRPr="00A92CED">
              <w:rPr>
                <w:rFonts w:eastAsiaTheme="minorEastAsia"/>
                <w:lang w:val="fr-CA"/>
              </w:rPr>
              <w:t>dans le cas où elle est un contenant, elle ne gêne pas l’évacuation en cas d’incendie;</w:t>
            </w:r>
          </w:p>
          <w:p w14:paraId="5144CCBF" w14:textId="742974CF" w:rsidR="00D31FBB" w:rsidRPr="00A92CED" w:rsidRDefault="00D31FBB" w:rsidP="00D15EFA">
            <w:pPr>
              <w:pStyle w:val="ListParagraph"/>
              <w:numPr>
                <w:ilvl w:val="1"/>
                <w:numId w:val="28"/>
              </w:numPr>
              <w:rPr>
                <w:rFonts w:eastAsiaTheme="minorEastAsia"/>
                <w:lang w:val="fr-CA"/>
              </w:rPr>
            </w:pPr>
            <w:r w:rsidRPr="00A92CED">
              <w:rPr>
                <w:rFonts w:eastAsiaTheme="minorEastAsia"/>
                <w:lang w:val="fr-CA"/>
              </w:rPr>
              <w:t>dans le cas où elle n’est pas un contenant, toute issue est libre d’obstacles;</w:t>
            </w:r>
          </w:p>
          <w:p w14:paraId="576FAD80" w14:textId="080B6B51" w:rsidR="00D31FBB" w:rsidRPr="00A92CED" w:rsidRDefault="00D31FBB" w:rsidP="00D15EFA">
            <w:pPr>
              <w:pStyle w:val="ListParagraph"/>
              <w:numPr>
                <w:ilvl w:val="1"/>
                <w:numId w:val="28"/>
              </w:numPr>
              <w:rPr>
                <w:rFonts w:eastAsiaTheme="minorEastAsia"/>
                <w:lang w:val="fr-CA"/>
              </w:rPr>
            </w:pPr>
            <w:r w:rsidRPr="00A92CED">
              <w:rPr>
                <w:rFonts w:eastAsiaTheme="minorEastAsia"/>
                <w:lang w:val="fr-CA"/>
              </w:rPr>
              <w:t xml:space="preserve">si elle contient des étagères, celles-ci sont faites d’un matériau qui ne produit pas d’étincelles (par exemple, du métal peint ou du bois); </w:t>
            </w:r>
          </w:p>
          <w:p w14:paraId="725FF9D6" w14:textId="35798167" w:rsidR="00D31FBB" w:rsidRPr="00A92CED" w:rsidRDefault="00D31FBB" w:rsidP="00D15EFA">
            <w:pPr>
              <w:pStyle w:val="ListParagraph"/>
              <w:numPr>
                <w:ilvl w:val="1"/>
                <w:numId w:val="28"/>
              </w:numPr>
              <w:rPr>
                <w:rFonts w:eastAsiaTheme="minorEastAsia"/>
                <w:lang w:val="fr-CA"/>
              </w:rPr>
            </w:pPr>
            <w:r w:rsidRPr="00A92CED">
              <w:rPr>
                <w:rFonts w:eastAsiaTheme="minorEastAsia"/>
                <w:lang w:val="fr-CA"/>
              </w:rPr>
              <w:t xml:space="preserve">rien d’autre que des moteurs de fusée y sont également stockés; </w:t>
            </w:r>
          </w:p>
          <w:p w14:paraId="67008DFC" w14:textId="169186C1" w:rsidR="00D31FBB" w:rsidRPr="00A92CED" w:rsidRDefault="00D31FBB" w:rsidP="00D15EFA">
            <w:pPr>
              <w:pStyle w:val="ListParagraph"/>
              <w:numPr>
                <w:ilvl w:val="1"/>
                <w:numId w:val="28"/>
              </w:numPr>
              <w:rPr>
                <w:rFonts w:eastAsiaTheme="minorEastAsia"/>
                <w:lang w:val="fr-CA"/>
              </w:rPr>
            </w:pPr>
            <w:r w:rsidRPr="00A92CED">
              <w:rPr>
                <w:rFonts w:eastAsiaTheme="minorEastAsia"/>
                <w:lang w:val="fr-CA"/>
              </w:rPr>
              <w:t xml:space="preserve">tout déversement, toute fuite ou toute autre contamination qui se produit à l’intérieur de celle-ci est nettoyé immédiatement; </w:t>
            </w:r>
          </w:p>
          <w:p w14:paraId="36CADADE" w14:textId="764B9259" w:rsidR="00D31FBB" w:rsidRPr="00A92CED" w:rsidRDefault="00D31FBB" w:rsidP="00D15EFA">
            <w:pPr>
              <w:pStyle w:val="ListParagraph"/>
              <w:numPr>
                <w:ilvl w:val="1"/>
                <w:numId w:val="28"/>
              </w:numPr>
              <w:rPr>
                <w:rFonts w:eastAsiaTheme="minorEastAsia"/>
                <w:lang w:val="fr-CA"/>
              </w:rPr>
            </w:pPr>
            <w:r w:rsidRPr="00A92CED">
              <w:rPr>
                <w:rFonts w:eastAsiaTheme="minorEastAsia"/>
                <w:lang w:val="fr-CA"/>
              </w:rPr>
              <w:t xml:space="preserve">des précautions qui réduisent au minimum la probabilité d’un incendie à </w:t>
            </w:r>
            <w:r w:rsidRPr="00A92CED">
              <w:rPr>
                <w:rFonts w:eastAsiaTheme="minorEastAsia"/>
                <w:lang w:val="fr-CA"/>
              </w:rPr>
              <w:lastRenderedPageBreak/>
              <w:t>l’intérieur ou aux alentours de celle-ci sont prises;</w:t>
            </w:r>
          </w:p>
          <w:p w14:paraId="67C522DC" w14:textId="1CAB260B" w:rsidR="00D31FBB" w:rsidRPr="00A92CED" w:rsidRDefault="00D31FBB" w:rsidP="00D15EFA">
            <w:pPr>
              <w:pStyle w:val="ListParagraph"/>
              <w:numPr>
                <w:ilvl w:val="1"/>
                <w:numId w:val="28"/>
              </w:numPr>
              <w:rPr>
                <w:lang w:val="fr-CA"/>
              </w:rPr>
            </w:pPr>
            <w:r w:rsidRPr="00A92CED">
              <w:rPr>
                <w:rFonts w:eastAsiaTheme="minorEastAsia"/>
                <w:lang w:val="fr-CA"/>
              </w:rPr>
              <w:t>un panneau portant les mots « Danger — Risque d’incendie/Fire Hazard » en lettres d’au moins 10 cm de haut et interdisant de fumer en lettres ou à l’aide d’un symbole d’au moins 10 cm de haut est apposé sur l’unité de stockage dans un endroit bien en vue.</w:t>
            </w:r>
          </w:p>
        </w:tc>
        <w:tc>
          <w:tcPr>
            <w:tcW w:w="3143" w:type="dxa"/>
            <w:gridSpan w:val="2"/>
          </w:tcPr>
          <w:p w14:paraId="10D73E32" w14:textId="6BAA4F31" w:rsidR="00D31FBB" w:rsidRPr="00A92CED" w:rsidRDefault="00D31FBB" w:rsidP="00D15EFA">
            <w:pPr>
              <w:rPr>
                <w:lang w:val="fr-CA"/>
              </w:rPr>
            </w:pPr>
            <w:r w:rsidRPr="00A92CED">
              <w:rPr>
                <w:lang w:val="fr-CA"/>
              </w:rPr>
              <w:lastRenderedPageBreak/>
              <w:t>Cet amendement proposé vise à appuyer l’ajout d’une nouvelle section 3 à la partie 15 pour prévoir les exigences applicables aux moteurs de fusée haute puissance avancés.</w:t>
            </w:r>
          </w:p>
        </w:tc>
        <w:tc>
          <w:tcPr>
            <w:tcW w:w="3087" w:type="dxa"/>
          </w:tcPr>
          <w:p w14:paraId="2C79C9B3" w14:textId="77777777" w:rsidR="00D31FBB" w:rsidRPr="00A92CED" w:rsidRDefault="00D31FBB" w:rsidP="00D15EFA">
            <w:pPr>
              <w:rPr>
                <w:lang w:val="fr-CA"/>
              </w:rPr>
            </w:pPr>
          </w:p>
        </w:tc>
      </w:tr>
      <w:tr w:rsidR="00A92CED" w:rsidRPr="00A92CED" w14:paraId="4F59A454" w14:textId="77777777" w:rsidTr="00E10233">
        <w:tc>
          <w:tcPr>
            <w:tcW w:w="3126" w:type="dxa"/>
          </w:tcPr>
          <w:p w14:paraId="259F804B" w14:textId="77777777" w:rsidR="00D31FBB" w:rsidRPr="00A92CED" w:rsidRDefault="00D31FBB" w:rsidP="00D15EFA">
            <w:pPr>
              <w:pStyle w:val="ListParagraph"/>
              <w:numPr>
                <w:ilvl w:val="0"/>
                <w:numId w:val="1"/>
              </w:numPr>
              <w:jc w:val="center"/>
              <w:rPr>
                <w:lang w:val="fr-CA"/>
              </w:rPr>
            </w:pPr>
          </w:p>
        </w:tc>
        <w:tc>
          <w:tcPr>
            <w:tcW w:w="3715" w:type="dxa"/>
          </w:tcPr>
          <w:p w14:paraId="730972AB" w14:textId="456B4692" w:rsidR="00D31FBB" w:rsidRPr="00A92CED" w:rsidRDefault="00D31FBB" w:rsidP="00D15EFA">
            <w:pPr>
              <w:rPr>
                <w:rFonts w:ascii="Calibri" w:hAnsi="Calibri" w:cs="Calibri"/>
                <w:b/>
                <w:bCs/>
                <w:lang w:val="fr-CA"/>
              </w:rPr>
            </w:pPr>
            <w:r w:rsidRPr="00A92CED">
              <w:rPr>
                <w:rFonts w:ascii="Calibri" w:hAnsi="Calibri" w:cs="Calibri"/>
                <w:b/>
                <w:bCs/>
                <w:lang w:val="fr-CA"/>
              </w:rPr>
              <w:t>NOUVEAU</w:t>
            </w:r>
          </w:p>
        </w:tc>
        <w:tc>
          <w:tcPr>
            <w:tcW w:w="4076" w:type="dxa"/>
          </w:tcPr>
          <w:p w14:paraId="70558076" w14:textId="207156E4" w:rsidR="00D31FBB" w:rsidRPr="00A92CED" w:rsidRDefault="00D31FBB" w:rsidP="00D15EFA">
            <w:pPr>
              <w:rPr>
                <w:lang w:val="fr-CA"/>
              </w:rPr>
            </w:pPr>
            <w:r w:rsidRPr="00A92CED">
              <w:rPr>
                <w:lang w:val="fr-CA"/>
              </w:rPr>
              <w:t xml:space="preserve">Modifier la nouvelle section 3 proposée de la partie 15 pour ajouter la nouvelle exigence ci-après visant les utilisateurs : </w:t>
            </w:r>
          </w:p>
          <w:p w14:paraId="4C80F784" w14:textId="298F5983" w:rsidR="00D31FBB" w:rsidRPr="00A92CED" w:rsidRDefault="00D31FBB" w:rsidP="00D15EFA">
            <w:pPr>
              <w:pStyle w:val="ListParagraph"/>
              <w:numPr>
                <w:ilvl w:val="0"/>
                <w:numId w:val="28"/>
              </w:numPr>
              <w:rPr>
                <w:lang w:val="fr-CA"/>
              </w:rPr>
            </w:pPr>
            <w:r w:rsidRPr="00A92CED">
              <w:rPr>
                <w:rFonts w:eastAsiaTheme="minorEastAsia"/>
                <w:lang w:val="fr-CA"/>
              </w:rPr>
              <w:t>Les moteurs de fusée, les trousses de rechargement et les allumeurs sont surveillés lorsqu’ils ne sont pas stockés.</w:t>
            </w:r>
          </w:p>
        </w:tc>
        <w:tc>
          <w:tcPr>
            <w:tcW w:w="3143" w:type="dxa"/>
            <w:gridSpan w:val="2"/>
          </w:tcPr>
          <w:p w14:paraId="0AA4644A" w14:textId="2FFD8364" w:rsidR="00D31FBB" w:rsidRPr="00A92CED" w:rsidRDefault="00D31FBB" w:rsidP="00D15EFA">
            <w:pPr>
              <w:rPr>
                <w:lang w:val="fr-CA"/>
              </w:rPr>
            </w:pPr>
            <w:r w:rsidRPr="00A92CED">
              <w:rPr>
                <w:lang w:val="fr-CA"/>
              </w:rPr>
              <w:t>Cet amendement proposé vise à appuyer l’ajout d’une nouvelle section 3 à la partie 15 pour prévoir les exigences applicables aux moteurs de fusée haute puissance avancés.</w:t>
            </w:r>
          </w:p>
        </w:tc>
        <w:tc>
          <w:tcPr>
            <w:tcW w:w="3087" w:type="dxa"/>
          </w:tcPr>
          <w:p w14:paraId="5FA81C7C" w14:textId="77777777" w:rsidR="00D31FBB" w:rsidRPr="00A92CED" w:rsidRDefault="00D31FBB" w:rsidP="00D15EFA">
            <w:pPr>
              <w:rPr>
                <w:lang w:val="fr-CA"/>
              </w:rPr>
            </w:pPr>
          </w:p>
        </w:tc>
      </w:tr>
      <w:tr w:rsidR="00A92CED" w:rsidRPr="00A92CED" w14:paraId="5E43F64B" w14:textId="3CCA4AC6" w:rsidTr="00F47EB0">
        <w:tc>
          <w:tcPr>
            <w:tcW w:w="17147" w:type="dxa"/>
            <w:gridSpan w:val="6"/>
            <w:shd w:val="clear" w:color="auto" w:fill="D9D9D9" w:themeFill="background1" w:themeFillShade="D9"/>
          </w:tcPr>
          <w:p w14:paraId="37A356E9" w14:textId="165E2684" w:rsidR="00D31FBB" w:rsidRPr="00A92CED" w:rsidRDefault="00D31FBB" w:rsidP="00D15EFA">
            <w:pPr>
              <w:spacing w:before="60" w:after="60"/>
              <w:jc w:val="center"/>
              <w:rPr>
                <w:rFonts w:ascii="Arial" w:hAnsi="Arial" w:cs="Arial"/>
                <w:b/>
                <w:sz w:val="24"/>
                <w:szCs w:val="24"/>
                <w:lang w:val="fr-CA"/>
              </w:rPr>
            </w:pPr>
            <w:r w:rsidRPr="00A92CED">
              <w:rPr>
                <w:rFonts w:ascii="Arial" w:hAnsi="Arial" w:cs="Arial"/>
                <w:b/>
                <w:sz w:val="24"/>
                <w:szCs w:val="24"/>
                <w:lang w:val="fr-CA"/>
              </w:rPr>
              <w:t>PARTIE 17 – Pièces pyrotechniques à effets spéciaux</w:t>
            </w:r>
          </w:p>
        </w:tc>
      </w:tr>
      <w:tr w:rsidR="00A92CED" w:rsidRPr="00A92CED" w14:paraId="64528976" w14:textId="1049FF57" w:rsidTr="00F47EB0">
        <w:tc>
          <w:tcPr>
            <w:tcW w:w="17147" w:type="dxa"/>
            <w:gridSpan w:val="6"/>
            <w:shd w:val="clear" w:color="auto" w:fill="F2F2F2" w:themeFill="background1" w:themeFillShade="F2"/>
          </w:tcPr>
          <w:p w14:paraId="01D56628" w14:textId="30DB0DD9" w:rsidR="00D31FBB" w:rsidRPr="00A92CED" w:rsidRDefault="00D31FBB" w:rsidP="00D15EFA">
            <w:pPr>
              <w:spacing w:before="60" w:after="60"/>
              <w:jc w:val="center"/>
              <w:rPr>
                <w:rFonts w:ascii="Arial" w:hAnsi="Arial" w:cs="Arial"/>
                <w:sz w:val="24"/>
                <w:szCs w:val="24"/>
                <w:lang w:val="fr-CA"/>
              </w:rPr>
            </w:pPr>
            <w:r w:rsidRPr="00A92CED">
              <w:rPr>
                <w:rFonts w:ascii="Arial" w:hAnsi="Arial" w:cs="Arial"/>
                <w:sz w:val="24"/>
                <w:szCs w:val="24"/>
                <w:lang w:val="fr-CA"/>
              </w:rPr>
              <w:t>Section 1 : Règles visant les vendeurs</w:t>
            </w:r>
          </w:p>
        </w:tc>
      </w:tr>
      <w:tr w:rsidR="00A92CED" w:rsidRPr="00A92CED" w14:paraId="60833766" w14:textId="72BCACD3" w:rsidTr="00E10233">
        <w:tc>
          <w:tcPr>
            <w:tcW w:w="3126" w:type="dxa"/>
          </w:tcPr>
          <w:p w14:paraId="445C53E9" w14:textId="77777777" w:rsidR="00D31FBB" w:rsidRPr="00A92CED" w:rsidRDefault="00D31FBB" w:rsidP="00D15EFA">
            <w:pPr>
              <w:pStyle w:val="ListParagraph"/>
              <w:numPr>
                <w:ilvl w:val="0"/>
                <w:numId w:val="1"/>
              </w:numPr>
              <w:jc w:val="center"/>
              <w:rPr>
                <w:lang w:val="fr-CA"/>
              </w:rPr>
            </w:pPr>
          </w:p>
        </w:tc>
        <w:tc>
          <w:tcPr>
            <w:tcW w:w="3715" w:type="dxa"/>
          </w:tcPr>
          <w:p w14:paraId="115D6BD4" w14:textId="2838D002" w:rsidR="00D31FBB" w:rsidRPr="00A92CED" w:rsidRDefault="00D31FBB" w:rsidP="00D15EFA">
            <w:pPr>
              <w:autoSpaceDE w:val="0"/>
              <w:autoSpaceDN w:val="0"/>
              <w:adjustRightInd w:val="0"/>
              <w:rPr>
                <w:rFonts w:ascii="Calibri" w:hAnsi="Calibri" w:cs="Calibri"/>
                <w:lang w:val="fr-CA"/>
              </w:rPr>
            </w:pPr>
            <w:r w:rsidRPr="00A92CED">
              <w:rPr>
                <w:rFonts w:ascii="Calibri" w:hAnsi="Calibri" w:cs="Calibri"/>
                <w:b/>
                <w:bCs/>
                <w:lang w:val="fr-CA"/>
              </w:rPr>
              <w:t>368</w:t>
            </w:r>
            <w:r w:rsidRPr="00A92CED">
              <w:rPr>
                <w:rFonts w:ascii="Calibri" w:hAnsi="Calibri" w:cs="Calibri"/>
                <w:lang w:val="fr-CA"/>
              </w:rPr>
              <w:t xml:space="preserve"> (1) Le vendeur ne peut vendre de pièces pyrotechniques à effets spéciaux qu’à un acheteur qui est titulaire du certificat de technicien en pyrotechnie requis pour utiliser les pièces qui seront achetées.</w:t>
            </w:r>
          </w:p>
          <w:p w14:paraId="032A518E" w14:textId="77777777" w:rsidR="00D31FBB" w:rsidRPr="00A92CED" w:rsidRDefault="00D31FBB" w:rsidP="00D15EFA">
            <w:pPr>
              <w:rPr>
                <w:rFonts w:ascii="Calibri" w:hAnsi="Calibri" w:cs="Calibri"/>
                <w:lang w:val="fr-CA"/>
              </w:rPr>
            </w:pPr>
          </w:p>
          <w:p w14:paraId="250BDAA0" w14:textId="4708DADD" w:rsidR="00D31FBB" w:rsidRPr="00A92CED" w:rsidRDefault="00D31FBB" w:rsidP="00D15EFA">
            <w:pPr>
              <w:autoSpaceDE w:val="0"/>
              <w:autoSpaceDN w:val="0"/>
              <w:adjustRightInd w:val="0"/>
              <w:rPr>
                <w:lang w:val="fr-CA"/>
              </w:rPr>
            </w:pPr>
            <w:r w:rsidRPr="00A92CED">
              <w:rPr>
                <w:rFonts w:ascii="Calibri" w:hAnsi="Calibri" w:cs="Calibri"/>
                <w:lang w:val="fr-CA"/>
              </w:rPr>
              <w:t xml:space="preserve">(4) Le vendeur ne peut vendre de pièces pyrotechniques à effets </w:t>
            </w:r>
            <w:r w:rsidRPr="00A92CED">
              <w:rPr>
                <w:rFonts w:ascii="Calibri" w:hAnsi="Calibri" w:cs="Calibri"/>
                <w:lang w:val="fr-CA"/>
              </w:rPr>
              <w:lastRenderedPageBreak/>
              <w:t>spéciaux à un acheteur qui n’est pas un utilisateur que si celui-ci est titulaire d’une licence.</w:t>
            </w:r>
          </w:p>
        </w:tc>
        <w:tc>
          <w:tcPr>
            <w:tcW w:w="4097" w:type="dxa"/>
            <w:gridSpan w:val="2"/>
          </w:tcPr>
          <w:p w14:paraId="3A5A0F9F" w14:textId="12186D11" w:rsidR="00D31FBB" w:rsidRPr="00A92CED" w:rsidRDefault="00D31FBB" w:rsidP="00D15EFA">
            <w:pPr>
              <w:autoSpaceDE w:val="0"/>
              <w:autoSpaceDN w:val="0"/>
              <w:adjustRightInd w:val="0"/>
              <w:rPr>
                <w:rFonts w:cstheme="minorHAnsi"/>
                <w:lang w:val="fr-CA"/>
              </w:rPr>
            </w:pPr>
            <w:r w:rsidRPr="00A92CED">
              <w:rPr>
                <w:bCs/>
                <w:lang w:val="fr-CA"/>
              </w:rPr>
              <w:lastRenderedPageBreak/>
              <w:t>Modifier l’article 368 pour supprimer le paragraphe 368(4) et pour préciser au paragraphe 368(1) que le vendeur ne peut vendre de pièces pyrotechniques à effets spéciaux qu’aux personnes suivantes :</w:t>
            </w:r>
          </w:p>
          <w:p w14:paraId="2C1616C9" w14:textId="351436E4" w:rsidR="00D31FBB" w:rsidRPr="00A92CED" w:rsidRDefault="00D31FBB" w:rsidP="00D15EFA">
            <w:pPr>
              <w:pStyle w:val="ListParagraph"/>
              <w:numPr>
                <w:ilvl w:val="0"/>
                <w:numId w:val="28"/>
              </w:numPr>
              <w:autoSpaceDE w:val="0"/>
              <w:autoSpaceDN w:val="0"/>
              <w:adjustRightInd w:val="0"/>
              <w:rPr>
                <w:bCs/>
                <w:lang w:val="fr-CA"/>
              </w:rPr>
            </w:pPr>
            <w:r w:rsidRPr="00A92CED">
              <w:rPr>
                <w:rFonts w:cstheme="minorHAnsi"/>
                <w:lang w:val="fr-CA"/>
              </w:rPr>
              <w:t xml:space="preserve">un titulaire de licence; </w:t>
            </w:r>
          </w:p>
          <w:p w14:paraId="52CF02D1" w14:textId="1DED8B45" w:rsidR="00D31FBB" w:rsidRPr="00A92CED" w:rsidRDefault="00D31FBB" w:rsidP="00D15EFA">
            <w:pPr>
              <w:pStyle w:val="ListParagraph"/>
              <w:numPr>
                <w:ilvl w:val="0"/>
                <w:numId w:val="28"/>
              </w:numPr>
              <w:rPr>
                <w:lang w:val="fr-CA"/>
              </w:rPr>
            </w:pPr>
            <w:r w:rsidRPr="00A92CED">
              <w:rPr>
                <w:rFonts w:cstheme="minorHAnsi"/>
                <w:lang w:val="fr-CA"/>
              </w:rPr>
              <w:t xml:space="preserve">un utilisateur qui est titulaire d’un certificat de technicien en pyrotechnie requis pour </w:t>
            </w:r>
            <w:r w:rsidRPr="00A92CED">
              <w:rPr>
                <w:rFonts w:cstheme="minorHAnsi"/>
                <w:lang w:val="fr-CA"/>
              </w:rPr>
              <w:lastRenderedPageBreak/>
              <w:t>l’utilisation des pièces qui seront achetées.</w:t>
            </w:r>
          </w:p>
        </w:tc>
        <w:tc>
          <w:tcPr>
            <w:tcW w:w="3122" w:type="dxa"/>
          </w:tcPr>
          <w:p w14:paraId="6AABEBD5" w14:textId="7085228A" w:rsidR="00D31FBB" w:rsidRPr="00A92CED" w:rsidRDefault="00D31FBB" w:rsidP="00D15EFA">
            <w:pPr>
              <w:rPr>
                <w:lang w:val="fr-CA"/>
              </w:rPr>
            </w:pPr>
            <w:r w:rsidRPr="00A92CED">
              <w:rPr>
                <w:lang w:val="fr-CA"/>
              </w:rPr>
              <w:lastRenderedPageBreak/>
              <w:t>Les amendements proposés visent à préciser à qui le vendeur peut vendre des pièces pyrotechniques à effets spéciaux.</w:t>
            </w:r>
          </w:p>
        </w:tc>
        <w:tc>
          <w:tcPr>
            <w:tcW w:w="3087" w:type="dxa"/>
          </w:tcPr>
          <w:p w14:paraId="4B3EFF82" w14:textId="77777777" w:rsidR="00D31FBB" w:rsidRPr="00A92CED" w:rsidRDefault="00D31FBB" w:rsidP="00D15EFA">
            <w:pPr>
              <w:rPr>
                <w:lang w:val="fr-CA"/>
              </w:rPr>
            </w:pPr>
          </w:p>
        </w:tc>
      </w:tr>
      <w:tr w:rsidR="00A92CED" w:rsidRPr="00A92CED" w14:paraId="28EC44B5" w14:textId="77777777" w:rsidTr="00E10233">
        <w:tc>
          <w:tcPr>
            <w:tcW w:w="3126" w:type="dxa"/>
          </w:tcPr>
          <w:p w14:paraId="640C4D19" w14:textId="77777777" w:rsidR="00D31FBB" w:rsidRPr="00A92CED" w:rsidRDefault="00D31FBB" w:rsidP="006E0F47">
            <w:pPr>
              <w:pStyle w:val="ListParagraph"/>
              <w:numPr>
                <w:ilvl w:val="0"/>
                <w:numId w:val="1"/>
              </w:numPr>
              <w:jc w:val="center"/>
              <w:rPr>
                <w:lang w:val="fr-CA"/>
              </w:rPr>
            </w:pPr>
          </w:p>
        </w:tc>
        <w:tc>
          <w:tcPr>
            <w:tcW w:w="3715" w:type="dxa"/>
          </w:tcPr>
          <w:p w14:paraId="46F6A208" w14:textId="172A39FC" w:rsidR="00D31FBB" w:rsidRPr="00A92CED" w:rsidRDefault="00D31FBB" w:rsidP="002B1331">
            <w:pPr>
              <w:autoSpaceDE w:val="0"/>
              <w:autoSpaceDN w:val="0"/>
              <w:adjustRightInd w:val="0"/>
              <w:rPr>
                <w:rFonts w:ascii="Calibri" w:hAnsi="Calibri" w:cs="Calibri"/>
                <w:b/>
                <w:bCs/>
                <w:lang w:val="fr-CA"/>
              </w:rPr>
            </w:pPr>
            <w:r w:rsidRPr="00A92CED">
              <w:rPr>
                <w:rFonts w:ascii="Calibri" w:hAnsi="Calibri" w:cs="Calibri"/>
                <w:b/>
                <w:bCs/>
                <w:lang w:val="fr-CA"/>
              </w:rPr>
              <w:t>NOUVEAU</w:t>
            </w:r>
          </w:p>
        </w:tc>
        <w:tc>
          <w:tcPr>
            <w:tcW w:w="4097" w:type="dxa"/>
            <w:gridSpan w:val="2"/>
          </w:tcPr>
          <w:p w14:paraId="50DFDAE9" w14:textId="77B12D7D" w:rsidR="00D31FBB" w:rsidRPr="00A92CED" w:rsidRDefault="00D31FBB" w:rsidP="002B1331">
            <w:pPr>
              <w:rPr>
                <w:rFonts w:cstheme="minorHAnsi"/>
                <w:lang w:val="fr-CA"/>
              </w:rPr>
            </w:pPr>
            <w:r w:rsidRPr="00A92CED">
              <w:rPr>
                <w:lang w:val="fr-CA"/>
              </w:rPr>
              <w:t xml:space="preserve">Ajouter à la Section 1 de la Partie 17 une exigence selon laquelle un vendeur doit s’assurer que tout emballage ou contenant qui a été utilisé pour des explosifs de type F.3 ou F.4 n’est pas réutilisé à moins que </w:t>
            </w:r>
            <w:r w:rsidRPr="00A92CED">
              <w:rPr>
                <w:rFonts w:cstheme="minorHAnsi"/>
                <w:lang w:val="fr-CA"/>
              </w:rPr>
              <w:t xml:space="preserve">: </w:t>
            </w:r>
          </w:p>
          <w:p w14:paraId="36DE022C" w14:textId="4ABB4F4E"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La classification aux fins du transport des explosifs de type </w:t>
            </w:r>
            <w:r w:rsidRPr="00A92CED">
              <w:rPr>
                <w:lang w:val="fr-CA"/>
              </w:rPr>
              <w:t xml:space="preserve">F.3 ou F.4 </w:t>
            </w:r>
            <w:r w:rsidRPr="00A92CED">
              <w:rPr>
                <w:rFonts w:cstheme="minorHAnsi"/>
                <w:lang w:val="fr-CA"/>
              </w:rPr>
              <w:t>reste inchangée;</w:t>
            </w:r>
          </w:p>
          <w:p w14:paraId="7E06308A" w14:textId="2AAF88B9"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Les explosifs de type </w:t>
            </w:r>
            <w:r w:rsidRPr="00A92CED">
              <w:rPr>
                <w:lang w:val="fr-CA"/>
              </w:rPr>
              <w:t xml:space="preserve">F.3 ou F.4 </w:t>
            </w:r>
            <w:r w:rsidRPr="00A92CED">
              <w:rPr>
                <w:rFonts w:cstheme="minorHAnsi"/>
                <w:lang w:val="fr-CA"/>
              </w:rPr>
              <w:t>sont disposés dans l’emballage ou le contenant de manière à réduire au minimum leur mouvement pendant le transport;</w:t>
            </w:r>
          </w:p>
          <w:p w14:paraId="4E81272D"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L’emballage ou le contenant est fermé pour le transport de la même manière que lors de sa première utilisation;</w:t>
            </w:r>
          </w:p>
          <w:p w14:paraId="4BC8CBBA" w14:textId="69609E4C"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La masse des explosifs de type </w:t>
            </w:r>
            <w:r w:rsidRPr="00A92CED">
              <w:rPr>
                <w:lang w:val="fr-CA"/>
              </w:rPr>
              <w:t xml:space="preserve">F.3 ou F.4 </w:t>
            </w:r>
            <w:r w:rsidRPr="00A92CED">
              <w:rPr>
                <w:rFonts w:cstheme="minorHAnsi"/>
                <w:lang w:val="fr-CA"/>
              </w:rPr>
              <w:t>est égale ou inférieure à la masse des explosifs lors de la première utilisation de l’emballage ou du contenant;</w:t>
            </w:r>
          </w:p>
          <w:p w14:paraId="7EB2E099" w14:textId="713C8B5D"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L’emballage ou le contenant ne présente aucun signe de dommage, de contamination ou de réduction de sa robustesse.</w:t>
            </w:r>
          </w:p>
        </w:tc>
        <w:tc>
          <w:tcPr>
            <w:tcW w:w="3122" w:type="dxa"/>
          </w:tcPr>
          <w:p w14:paraId="0B1F7F04" w14:textId="710081CB" w:rsidR="00D31FBB" w:rsidRPr="00A92CED" w:rsidRDefault="00D31FBB" w:rsidP="002B1331">
            <w:pPr>
              <w:rPr>
                <w:rFonts w:cstheme="minorHAnsi"/>
                <w:lang w:val="fr-CA"/>
              </w:rPr>
            </w:pPr>
            <w:r w:rsidRPr="00A92CED">
              <w:rPr>
                <w:rFonts w:cstheme="minorHAnsi"/>
                <w:lang w:val="fr-CA"/>
              </w:rPr>
              <w:t>Les exigences relatives à la réutilisation des emballages d’explosifs étaient contenues auparavant dans la norme sur l’emballage de Transports Canada (CGSB-43.151) du Règlement sur le TMD.</w:t>
            </w:r>
          </w:p>
          <w:p w14:paraId="52586271" w14:textId="77777777" w:rsidR="00D31FBB" w:rsidRPr="00A92CED" w:rsidRDefault="00D31FBB" w:rsidP="002B1331">
            <w:pPr>
              <w:rPr>
                <w:rFonts w:cstheme="minorHAnsi"/>
                <w:lang w:val="fr-CA"/>
              </w:rPr>
            </w:pPr>
          </w:p>
          <w:p w14:paraId="3DD315BF" w14:textId="7E6D711E" w:rsidR="00D31FBB" w:rsidRPr="00A92CED" w:rsidRDefault="00D31FBB" w:rsidP="002B1331">
            <w:pPr>
              <w:rPr>
                <w:rFonts w:cstheme="minorHAnsi"/>
                <w:lang w:val="fr-CA"/>
              </w:rPr>
            </w:pPr>
            <w:r w:rsidRPr="00A92CED">
              <w:rPr>
                <w:rFonts w:cstheme="minorHAnsi"/>
                <w:lang w:val="fr-CA"/>
              </w:rPr>
              <w:t xml:space="preserve">À la suite de discussions entre Transports Canada et RNCan, il a été convenu de faire de la réglementation des exigences relatives à la réutilisation des emballages d’explosifs la responsabilité de RNCan plutôt que de  TC. Le pouvoir de réglementer cette question est conféré en vertu de l’alinéa 5 </w:t>
            </w:r>
            <w:r w:rsidRPr="00A92CED">
              <w:rPr>
                <w:rFonts w:cstheme="minorHAnsi"/>
                <w:i/>
                <w:iCs/>
                <w:lang w:val="fr-CA"/>
              </w:rPr>
              <w:t>c</w:t>
            </w:r>
            <w:r w:rsidRPr="00A92CED">
              <w:rPr>
                <w:rFonts w:cstheme="minorHAnsi"/>
                <w:lang w:val="fr-CA"/>
              </w:rPr>
              <w:t xml:space="preserve">) de la </w:t>
            </w:r>
            <w:r w:rsidRPr="00A92CED">
              <w:rPr>
                <w:rFonts w:cstheme="minorHAnsi"/>
                <w:i/>
                <w:iCs/>
                <w:lang w:val="fr-CA"/>
              </w:rPr>
              <w:t>Loi sur les explosifs</w:t>
            </w:r>
            <w:r w:rsidRPr="00A92CED">
              <w:rPr>
                <w:rFonts w:cstheme="minorHAnsi"/>
                <w:lang w:val="fr-CA"/>
              </w:rPr>
              <w:t>.</w:t>
            </w:r>
          </w:p>
          <w:p w14:paraId="2F5F49AA" w14:textId="77777777" w:rsidR="00D31FBB" w:rsidRPr="00A92CED" w:rsidRDefault="00D31FBB" w:rsidP="002B1331">
            <w:pPr>
              <w:rPr>
                <w:lang w:val="fr-CA"/>
              </w:rPr>
            </w:pPr>
          </w:p>
        </w:tc>
        <w:tc>
          <w:tcPr>
            <w:tcW w:w="3087" w:type="dxa"/>
          </w:tcPr>
          <w:p w14:paraId="7599D0CD" w14:textId="77777777" w:rsidR="00D31FBB" w:rsidRPr="00A92CED" w:rsidRDefault="00D31FBB" w:rsidP="006E0F47">
            <w:pPr>
              <w:rPr>
                <w:lang w:val="fr-CA"/>
              </w:rPr>
            </w:pPr>
          </w:p>
        </w:tc>
      </w:tr>
      <w:tr w:rsidR="00A92CED" w:rsidRPr="00A92CED" w14:paraId="5C15BA3D" w14:textId="4ADCFB83" w:rsidTr="00F47EB0">
        <w:tc>
          <w:tcPr>
            <w:tcW w:w="17147" w:type="dxa"/>
            <w:gridSpan w:val="6"/>
            <w:shd w:val="clear" w:color="auto" w:fill="F2F2F2" w:themeFill="background1" w:themeFillShade="F2"/>
          </w:tcPr>
          <w:p w14:paraId="1AA9AFE7" w14:textId="448AE9AD" w:rsidR="00D31FBB" w:rsidRPr="00A92CED" w:rsidRDefault="00D31FBB" w:rsidP="00D15EFA">
            <w:pPr>
              <w:spacing w:before="60" w:after="60"/>
              <w:jc w:val="center"/>
              <w:rPr>
                <w:rFonts w:ascii="Arial" w:hAnsi="Arial" w:cs="Arial"/>
                <w:sz w:val="24"/>
                <w:szCs w:val="24"/>
                <w:lang w:val="fr-CA"/>
              </w:rPr>
            </w:pPr>
            <w:r w:rsidRPr="00A92CED">
              <w:rPr>
                <w:rFonts w:ascii="Arial" w:hAnsi="Arial" w:cs="Arial"/>
                <w:sz w:val="24"/>
                <w:szCs w:val="24"/>
                <w:lang w:val="fr-CA"/>
              </w:rPr>
              <w:t>Section 2 : Règles visant les utilisateurs et les autres acquéreurs</w:t>
            </w:r>
          </w:p>
        </w:tc>
      </w:tr>
      <w:tr w:rsidR="00A92CED" w:rsidRPr="00A92CED" w14:paraId="7448D3DA" w14:textId="7ACDE630" w:rsidTr="00E10233">
        <w:tc>
          <w:tcPr>
            <w:tcW w:w="3126" w:type="dxa"/>
          </w:tcPr>
          <w:p w14:paraId="649FBACB" w14:textId="77777777" w:rsidR="00D31FBB" w:rsidRPr="00A92CED" w:rsidRDefault="00D31FBB" w:rsidP="00D15EFA">
            <w:pPr>
              <w:pStyle w:val="ListParagraph"/>
              <w:numPr>
                <w:ilvl w:val="0"/>
                <w:numId w:val="1"/>
              </w:numPr>
              <w:jc w:val="center"/>
              <w:rPr>
                <w:lang w:val="fr-CA"/>
              </w:rPr>
            </w:pPr>
          </w:p>
        </w:tc>
        <w:tc>
          <w:tcPr>
            <w:tcW w:w="3715" w:type="dxa"/>
          </w:tcPr>
          <w:p w14:paraId="5ECDF601" w14:textId="396FA54A" w:rsidR="00D31FBB" w:rsidRPr="00A92CED" w:rsidRDefault="00D31FBB" w:rsidP="00D15EFA">
            <w:pPr>
              <w:autoSpaceDE w:val="0"/>
              <w:autoSpaceDN w:val="0"/>
              <w:adjustRightInd w:val="0"/>
              <w:rPr>
                <w:lang w:val="fr-CA"/>
              </w:rPr>
            </w:pPr>
            <w:r w:rsidRPr="00A92CED">
              <w:rPr>
                <w:rFonts w:ascii="Calibri" w:hAnsi="Calibri" w:cs="Calibri"/>
                <w:b/>
                <w:bCs/>
                <w:lang w:val="fr-CA"/>
              </w:rPr>
              <w:t xml:space="preserve">390 </w:t>
            </w:r>
            <w:r w:rsidRPr="00A92CED">
              <w:rPr>
                <w:rFonts w:ascii="Calibri" w:hAnsi="Calibri" w:cs="Calibri"/>
                <w:lang w:val="fr-CA"/>
              </w:rPr>
              <w:t>(2) Malgré le paragraphe (1), il peut stocker au plus 500 allumettes électriques et au plus 25 kg d’autres pièces pyrotechniques à effets spéciaux dans un local d’habitation ou une *unité de stockage. Il veille à ce que les exigences prévues aux articles 393 à 397 soient respectées.</w:t>
            </w:r>
          </w:p>
        </w:tc>
        <w:tc>
          <w:tcPr>
            <w:tcW w:w="4097" w:type="dxa"/>
            <w:gridSpan w:val="2"/>
          </w:tcPr>
          <w:p w14:paraId="1E6372A9" w14:textId="1F0B9DDE" w:rsidR="00D31FBB" w:rsidRPr="00A92CED" w:rsidRDefault="00D31FBB" w:rsidP="00D15EFA">
            <w:pPr>
              <w:rPr>
                <w:lang w:val="fr-CA"/>
              </w:rPr>
            </w:pPr>
            <w:r w:rsidRPr="00A92CED">
              <w:rPr>
                <w:bCs/>
                <w:lang w:val="fr-CA"/>
              </w:rPr>
              <w:t>Modifier la deuxième phrase du paragraphe pour préciser que l’utilisateur doit veiller à ce que les exigences prévues aux articles 392 à 397 soient respectées.</w:t>
            </w:r>
          </w:p>
        </w:tc>
        <w:tc>
          <w:tcPr>
            <w:tcW w:w="3122" w:type="dxa"/>
          </w:tcPr>
          <w:p w14:paraId="68327F41" w14:textId="151A5B2F" w:rsidR="00D31FBB" w:rsidRPr="00A92CED" w:rsidRDefault="00D31FBB" w:rsidP="00D15EFA">
            <w:pPr>
              <w:rPr>
                <w:lang w:val="fr-CA"/>
              </w:rPr>
            </w:pPr>
            <w:r w:rsidRPr="00A92CED">
              <w:rPr>
                <w:lang w:val="fr-CA"/>
              </w:rPr>
              <w:t>Cet amendement proposé vise à préciser que l’article 392 doit également s’appliquer.</w:t>
            </w:r>
          </w:p>
        </w:tc>
        <w:tc>
          <w:tcPr>
            <w:tcW w:w="3087" w:type="dxa"/>
          </w:tcPr>
          <w:p w14:paraId="4804C542" w14:textId="77777777" w:rsidR="00D31FBB" w:rsidRPr="00A92CED" w:rsidRDefault="00D31FBB" w:rsidP="00D15EFA">
            <w:pPr>
              <w:rPr>
                <w:lang w:val="fr-CA"/>
              </w:rPr>
            </w:pPr>
          </w:p>
        </w:tc>
      </w:tr>
      <w:tr w:rsidR="00A92CED" w:rsidRPr="00A92CED" w14:paraId="6523A143" w14:textId="77777777" w:rsidTr="00E10233">
        <w:tc>
          <w:tcPr>
            <w:tcW w:w="3126" w:type="dxa"/>
          </w:tcPr>
          <w:p w14:paraId="1BB726E0" w14:textId="77777777" w:rsidR="00D31FBB" w:rsidRPr="00A92CED" w:rsidRDefault="00D31FBB" w:rsidP="006E0F47">
            <w:pPr>
              <w:pStyle w:val="ListParagraph"/>
              <w:numPr>
                <w:ilvl w:val="0"/>
                <w:numId w:val="1"/>
              </w:numPr>
              <w:jc w:val="center"/>
              <w:rPr>
                <w:lang w:val="fr-CA"/>
              </w:rPr>
            </w:pPr>
          </w:p>
        </w:tc>
        <w:tc>
          <w:tcPr>
            <w:tcW w:w="3715" w:type="dxa"/>
          </w:tcPr>
          <w:p w14:paraId="5C5B0D14" w14:textId="72CF454C" w:rsidR="00D31FBB" w:rsidRPr="00A92CED" w:rsidRDefault="00D31FBB" w:rsidP="002B1331">
            <w:pPr>
              <w:autoSpaceDE w:val="0"/>
              <w:autoSpaceDN w:val="0"/>
              <w:adjustRightInd w:val="0"/>
              <w:rPr>
                <w:rFonts w:ascii="Calibri" w:hAnsi="Calibri" w:cs="Calibri"/>
                <w:b/>
                <w:bCs/>
                <w:lang w:val="fr-CA"/>
              </w:rPr>
            </w:pPr>
            <w:r w:rsidRPr="00A92CED">
              <w:rPr>
                <w:rFonts w:ascii="Calibri" w:hAnsi="Calibri" w:cs="Calibri"/>
                <w:b/>
                <w:bCs/>
                <w:lang w:val="fr-CA"/>
              </w:rPr>
              <w:t>NOUVEAU</w:t>
            </w:r>
          </w:p>
        </w:tc>
        <w:tc>
          <w:tcPr>
            <w:tcW w:w="4097" w:type="dxa"/>
            <w:gridSpan w:val="2"/>
          </w:tcPr>
          <w:p w14:paraId="45760F44" w14:textId="01A6F811" w:rsidR="00D31FBB" w:rsidRPr="00A92CED" w:rsidRDefault="00D31FBB" w:rsidP="002B1331">
            <w:pPr>
              <w:rPr>
                <w:rFonts w:cstheme="minorHAnsi"/>
                <w:lang w:val="fr-CA"/>
              </w:rPr>
            </w:pPr>
            <w:r w:rsidRPr="00A92CED">
              <w:rPr>
                <w:lang w:val="fr-CA"/>
              </w:rPr>
              <w:t xml:space="preserve">Ajouter à la Section 2 de la Partie 17 une exigence selon laquelle un utilisateur doit s’assurer que tout emballage ou contenant qui a été utilisé pour des explosifs de type F.3 ou F.4 n’est pas réutilisé à moins que </w:t>
            </w:r>
            <w:r w:rsidRPr="00A92CED">
              <w:rPr>
                <w:rFonts w:cstheme="minorHAnsi"/>
                <w:lang w:val="fr-CA"/>
              </w:rPr>
              <w:t xml:space="preserve">: </w:t>
            </w:r>
          </w:p>
          <w:p w14:paraId="5D34815A"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La classification aux fins du transport des explosifs de type </w:t>
            </w:r>
            <w:r w:rsidRPr="00A92CED">
              <w:rPr>
                <w:lang w:val="fr-CA"/>
              </w:rPr>
              <w:t xml:space="preserve">F.3 ou F.4 </w:t>
            </w:r>
            <w:r w:rsidRPr="00A92CED">
              <w:rPr>
                <w:rFonts w:cstheme="minorHAnsi"/>
                <w:lang w:val="fr-CA"/>
              </w:rPr>
              <w:t>reste inchangée;</w:t>
            </w:r>
          </w:p>
          <w:p w14:paraId="42534C90"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 xml:space="preserve">Les explosifs de type </w:t>
            </w:r>
            <w:r w:rsidRPr="00A92CED">
              <w:rPr>
                <w:lang w:val="fr-CA"/>
              </w:rPr>
              <w:t xml:space="preserve">F.3 ou F.4 </w:t>
            </w:r>
            <w:r w:rsidRPr="00A92CED">
              <w:rPr>
                <w:rFonts w:cstheme="minorHAnsi"/>
                <w:lang w:val="fr-CA"/>
              </w:rPr>
              <w:t>sont disposés dans l’emballage ou le contenant de manière à réduire au minimum leur mouvement pendant le transport;</w:t>
            </w:r>
          </w:p>
          <w:p w14:paraId="10ACF540"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L’emballage ou le contenant est fermé pour le transport de la même manière que lors de sa première utilisation;</w:t>
            </w:r>
          </w:p>
          <w:p w14:paraId="56494FEC" w14:textId="77777777" w:rsidR="00D31FBB" w:rsidRPr="00A92CED" w:rsidRDefault="00D31FBB" w:rsidP="002B1331">
            <w:pPr>
              <w:pStyle w:val="ListParagraph"/>
              <w:numPr>
                <w:ilvl w:val="0"/>
                <w:numId w:val="27"/>
              </w:numPr>
              <w:contextualSpacing w:val="0"/>
              <w:rPr>
                <w:rFonts w:cstheme="minorHAnsi"/>
                <w:lang w:val="fr-CA"/>
              </w:rPr>
            </w:pPr>
            <w:r w:rsidRPr="00A92CED">
              <w:rPr>
                <w:rFonts w:cstheme="minorHAnsi"/>
                <w:lang w:val="fr-CA"/>
              </w:rPr>
              <w:t>La masse des explosifs de type </w:t>
            </w:r>
            <w:r w:rsidRPr="00A92CED">
              <w:rPr>
                <w:lang w:val="fr-CA"/>
              </w:rPr>
              <w:t xml:space="preserve">F.3 ou F.4 </w:t>
            </w:r>
            <w:r w:rsidRPr="00A92CED">
              <w:rPr>
                <w:rFonts w:cstheme="minorHAnsi"/>
                <w:lang w:val="fr-CA"/>
              </w:rPr>
              <w:t>est égale ou inférieure à la masse des explosifs lors de la première utilisation de l’emballage ou du contenant;</w:t>
            </w:r>
          </w:p>
          <w:p w14:paraId="2C11B0D4" w14:textId="558BE900" w:rsidR="00D31FBB" w:rsidRPr="00A92CED" w:rsidRDefault="00D31FBB" w:rsidP="002B1331">
            <w:pPr>
              <w:pStyle w:val="ListParagraph"/>
              <w:numPr>
                <w:ilvl w:val="0"/>
                <w:numId w:val="27"/>
              </w:numPr>
              <w:ind w:left="714" w:hanging="357"/>
              <w:contextualSpacing w:val="0"/>
              <w:rPr>
                <w:rFonts w:cstheme="minorHAnsi"/>
                <w:lang w:val="fr-CA"/>
              </w:rPr>
            </w:pPr>
            <w:r w:rsidRPr="00A92CED">
              <w:rPr>
                <w:rFonts w:cstheme="minorHAnsi"/>
                <w:lang w:val="fr-CA"/>
              </w:rPr>
              <w:t xml:space="preserve">L’emballage ou le contenant ne présente aucun signe de </w:t>
            </w:r>
            <w:r w:rsidRPr="00A92CED">
              <w:rPr>
                <w:rFonts w:cstheme="minorHAnsi"/>
                <w:lang w:val="fr-CA"/>
              </w:rPr>
              <w:lastRenderedPageBreak/>
              <w:t>dommage, de contamination ou de réduction de sa robustesse.</w:t>
            </w:r>
          </w:p>
        </w:tc>
        <w:tc>
          <w:tcPr>
            <w:tcW w:w="3122" w:type="dxa"/>
          </w:tcPr>
          <w:p w14:paraId="6DE2B8F8" w14:textId="215F6AD4" w:rsidR="00D31FBB" w:rsidRPr="00A92CED" w:rsidRDefault="00D31FBB" w:rsidP="002B1331">
            <w:pPr>
              <w:rPr>
                <w:rFonts w:cstheme="minorHAnsi"/>
                <w:lang w:val="fr-CA"/>
              </w:rPr>
            </w:pPr>
            <w:r w:rsidRPr="00A92CED">
              <w:rPr>
                <w:rFonts w:cstheme="minorHAnsi"/>
                <w:lang w:val="fr-CA"/>
              </w:rPr>
              <w:lastRenderedPageBreak/>
              <w:t>Les exigences relatives à la réutilisation des emballages d’explosifs étaient contenues auparavant dans la norme sur l’emballage de Transports Canada (CGSB-43.151) du Règlement sur le TMD.</w:t>
            </w:r>
          </w:p>
          <w:p w14:paraId="2DDEFEDA" w14:textId="77777777" w:rsidR="00D31FBB" w:rsidRPr="00A92CED" w:rsidRDefault="00D31FBB" w:rsidP="002B1331">
            <w:pPr>
              <w:rPr>
                <w:rFonts w:cstheme="minorHAnsi"/>
                <w:lang w:val="fr-CA"/>
              </w:rPr>
            </w:pPr>
          </w:p>
          <w:p w14:paraId="63981F19" w14:textId="0CF3ED3F" w:rsidR="00D31FBB" w:rsidRPr="00A92CED" w:rsidRDefault="00D31FBB" w:rsidP="002B1331">
            <w:pPr>
              <w:rPr>
                <w:rFonts w:cstheme="minorHAnsi"/>
                <w:lang w:val="fr-CA"/>
              </w:rPr>
            </w:pPr>
            <w:r w:rsidRPr="00A92CED">
              <w:rPr>
                <w:rFonts w:cstheme="minorHAnsi"/>
                <w:lang w:val="fr-CA"/>
              </w:rPr>
              <w:t xml:space="preserve">À la suite de discussions entre Transports Canada et RNCan, il a été convenu de faire de la réglementation des exigences relatives à la réutilisation des emballages d’explosifs la responsabilité de RNCan plutôt que de  TC. Le pouvoir de réglementer cette question est conféré en vertu de l’alinéa 5 </w:t>
            </w:r>
            <w:r w:rsidRPr="00A92CED">
              <w:rPr>
                <w:rFonts w:cstheme="minorHAnsi"/>
                <w:i/>
                <w:iCs/>
                <w:lang w:val="fr-CA"/>
              </w:rPr>
              <w:t>c</w:t>
            </w:r>
            <w:r w:rsidRPr="00A92CED">
              <w:rPr>
                <w:rFonts w:cstheme="minorHAnsi"/>
                <w:lang w:val="fr-CA"/>
              </w:rPr>
              <w:t xml:space="preserve">) de la </w:t>
            </w:r>
            <w:r w:rsidRPr="00A92CED">
              <w:rPr>
                <w:rFonts w:cstheme="minorHAnsi"/>
                <w:i/>
                <w:iCs/>
                <w:lang w:val="fr-CA"/>
              </w:rPr>
              <w:t>Loi sur les explosifs</w:t>
            </w:r>
            <w:r w:rsidRPr="00A92CED">
              <w:rPr>
                <w:rFonts w:cstheme="minorHAnsi"/>
                <w:lang w:val="fr-CA"/>
              </w:rPr>
              <w:t>.</w:t>
            </w:r>
          </w:p>
          <w:p w14:paraId="3DB97275" w14:textId="77777777" w:rsidR="00D31FBB" w:rsidRPr="00A92CED" w:rsidRDefault="00D31FBB" w:rsidP="002B1331">
            <w:pPr>
              <w:rPr>
                <w:lang w:val="fr-CA"/>
              </w:rPr>
            </w:pPr>
          </w:p>
        </w:tc>
        <w:tc>
          <w:tcPr>
            <w:tcW w:w="3087" w:type="dxa"/>
          </w:tcPr>
          <w:p w14:paraId="0E68CA40" w14:textId="77777777" w:rsidR="00D31FBB" w:rsidRPr="00A92CED" w:rsidRDefault="00D31FBB" w:rsidP="006E0F47">
            <w:pPr>
              <w:rPr>
                <w:lang w:val="fr-CA"/>
              </w:rPr>
            </w:pPr>
          </w:p>
        </w:tc>
      </w:tr>
      <w:tr w:rsidR="00A92CED" w:rsidRPr="00A92CED" w14:paraId="1DE0B8E7" w14:textId="7A105EB2" w:rsidTr="00F47EB0">
        <w:tc>
          <w:tcPr>
            <w:tcW w:w="17147" w:type="dxa"/>
            <w:gridSpan w:val="6"/>
            <w:shd w:val="clear" w:color="auto" w:fill="D9D9D9" w:themeFill="background1" w:themeFillShade="D9"/>
          </w:tcPr>
          <w:p w14:paraId="610DDE2E" w14:textId="48606B58" w:rsidR="00D31FBB" w:rsidRPr="00A92CED" w:rsidRDefault="00D31FBB" w:rsidP="00D15EFA">
            <w:pPr>
              <w:spacing w:before="60" w:after="60"/>
              <w:jc w:val="center"/>
              <w:rPr>
                <w:rFonts w:ascii="Arial" w:hAnsi="Arial" w:cs="Arial"/>
                <w:b/>
                <w:sz w:val="24"/>
                <w:szCs w:val="24"/>
                <w:lang w:val="fr-CA"/>
              </w:rPr>
            </w:pPr>
            <w:r w:rsidRPr="00A92CED">
              <w:rPr>
                <w:rFonts w:ascii="Arial" w:hAnsi="Arial" w:cs="Arial"/>
                <w:b/>
                <w:sz w:val="24"/>
                <w:szCs w:val="24"/>
                <w:lang w:val="fr-CA"/>
              </w:rPr>
              <w:t>PARTIE 18 – Pièces pyrotechniques à grand déploiement</w:t>
            </w:r>
          </w:p>
        </w:tc>
      </w:tr>
      <w:tr w:rsidR="00A92CED" w:rsidRPr="00A92CED" w14:paraId="6187D49D" w14:textId="6C116CF1" w:rsidTr="00F47EB0">
        <w:tc>
          <w:tcPr>
            <w:tcW w:w="17147" w:type="dxa"/>
            <w:gridSpan w:val="6"/>
            <w:shd w:val="clear" w:color="auto" w:fill="F2F2F2" w:themeFill="background1" w:themeFillShade="F2"/>
          </w:tcPr>
          <w:p w14:paraId="738D3868" w14:textId="10081289" w:rsidR="00D31FBB" w:rsidRPr="00A92CED" w:rsidRDefault="00D31FBB" w:rsidP="00D15EFA">
            <w:pPr>
              <w:spacing w:before="60" w:after="60"/>
              <w:jc w:val="center"/>
              <w:rPr>
                <w:rFonts w:ascii="Arial" w:hAnsi="Arial" w:cs="Arial"/>
                <w:sz w:val="24"/>
                <w:szCs w:val="24"/>
                <w:lang w:val="fr-CA"/>
              </w:rPr>
            </w:pPr>
            <w:r w:rsidRPr="00A92CED">
              <w:rPr>
                <w:rFonts w:ascii="Arial" w:hAnsi="Arial" w:cs="Arial"/>
                <w:sz w:val="24"/>
                <w:szCs w:val="24"/>
                <w:lang w:val="fr-CA"/>
              </w:rPr>
              <w:t>Section 1 : Pièces pyrotechniques à grand déploiement</w:t>
            </w:r>
          </w:p>
        </w:tc>
      </w:tr>
      <w:tr w:rsidR="00A92CED" w:rsidRPr="00A92CED" w14:paraId="09AE78F4" w14:textId="0BB9EC7D" w:rsidTr="00E10233">
        <w:tc>
          <w:tcPr>
            <w:tcW w:w="3126" w:type="dxa"/>
          </w:tcPr>
          <w:p w14:paraId="0921FB40" w14:textId="77777777" w:rsidR="00D31FBB" w:rsidRPr="00A92CED" w:rsidRDefault="00D31FBB" w:rsidP="00D15EFA">
            <w:pPr>
              <w:pStyle w:val="ListParagraph"/>
              <w:numPr>
                <w:ilvl w:val="0"/>
                <w:numId w:val="1"/>
              </w:numPr>
              <w:jc w:val="center"/>
              <w:rPr>
                <w:lang w:val="fr-CA"/>
              </w:rPr>
            </w:pPr>
          </w:p>
        </w:tc>
        <w:tc>
          <w:tcPr>
            <w:tcW w:w="3715" w:type="dxa"/>
          </w:tcPr>
          <w:p w14:paraId="72481AE2" w14:textId="77777777" w:rsidR="00D31FBB" w:rsidRPr="00A92CED" w:rsidRDefault="00D31FBB" w:rsidP="00D15EFA">
            <w:pPr>
              <w:rPr>
                <w:lang w:val="fr-CA"/>
              </w:rPr>
            </w:pPr>
            <w:r w:rsidRPr="00A92CED">
              <w:rPr>
                <w:b/>
                <w:lang w:val="fr-CA"/>
              </w:rPr>
              <w:t>421</w:t>
            </w:r>
            <w:r w:rsidRPr="00A92CED">
              <w:rPr>
                <w:lang w:val="fr-CA"/>
              </w:rPr>
              <w:t xml:space="preserve"> Les certificats délivrés par le ministre et requis pour utiliser des pièces pyrotechniques sont les suivants :</w:t>
            </w:r>
          </w:p>
          <w:p w14:paraId="215B1F33" w14:textId="533C528D" w:rsidR="00D31FBB" w:rsidRPr="00A92CED" w:rsidRDefault="00D31FBB" w:rsidP="00D15EFA">
            <w:pPr>
              <w:ind w:left="720"/>
              <w:rPr>
                <w:b/>
                <w:lang w:val="fr-CA"/>
              </w:rPr>
            </w:pPr>
            <w:r w:rsidRPr="00A92CED">
              <w:rPr>
                <w:lang w:val="fr-CA"/>
              </w:rPr>
              <w:t>(a) certificat de technicien en pyrotechnie (aide-artificier);</w:t>
            </w:r>
          </w:p>
        </w:tc>
        <w:tc>
          <w:tcPr>
            <w:tcW w:w="4097" w:type="dxa"/>
            <w:gridSpan w:val="2"/>
          </w:tcPr>
          <w:p w14:paraId="3FC8ABF0" w14:textId="257DD3F3" w:rsidR="00D31FBB" w:rsidRPr="00A92CED" w:rsidRDefault="00D31FBB" w:rsidP="00D15EFA">
            <w:pPr>
              <w:rPr>
                <w:lang w:val="fr-CA"/>
              </w:rPr>
            </w:pPr>
            <w:r w:rsidRPr="00A92CED">
              <w:rPr>
                <w:lang w:val="fr-CA"/>
              </w:rPr>
              <w:t xml:space="preserve">Modifier l’article 421 pour supprimer l’alinéa a). </w:t>
            </w:r>
          </w:p>
        </w:tc>
        <w:tc>
          <w:tcPr>
            <w:tcW w:w="3122" w:type="dxa"/>
          </w:tcPr>
          <w:p w14:paraId="1078E9D0" w14:textId="4E41CA03" w:rsidR="00D31FBB" w:rsidRPr="00A92CED" w:rsidRDefault="00D31FBB" w:rsidP="00D15EFA">
            <w:pPr>
              <w:rPr>
                <w:lang w:val="fr-CA"/>
              </w:rPr>
            </w:pPr>
            <w:r w:rsidRPr="00A92CED">
              <w:rPr>
                <w:lang w:val="fr-CA"/>
              </w:rPr>
              <w:t xml:space="preserve">Supprimer l’exigence stipulant qu’un aide-artificier doit obtenir un certificat délivré par RNCan avant de travailler en tant qu’aide-artificier sous la supervision d’un artificier permettrait de réaliser des gains d’efficacité tant pour les intervenants que pour RNCan et refléterait mieux les exigences similaires prévues aux États-Unis et dans d’autres pays sans compromettre la sécurité. </w:t>
            </w:r>
          </w:p>
        </w:tc>
        <w:tc>
          <w:tcPr>
            <w:tcW w:w="3087" w:type="dxa"/>
          </w:tcPr>
          <w:p w14:paraId="76B230E1" w14:textId="77777777" w:rsidR="00D31FBB" w:rsidRPr="00A92CED" w:rsidRDefault="00D31FBB" w:rsidP="00D15EFA">
            <w:pPr>
              <w:rPr>
                <w:lang w:val="fr-CA"/>
              </w:rPr>
            </w:pPr>
          </w:p>
        </w:tc>
      </w:tr>
      <w:tr w:rsidR="00A92CED" w:rsidRPr="00A92CED" w14:paraId="6A90DC1B" w14:textId="2D0A0DCB" w:rsidTr="00E10233">
        <w:tc>
          <w:tcPr>
            <w:tcW w:w="3126" w:type="dxa"/>
          </w:tcPr>
          <w:p w14:paraId="0562D873" w14:textId="77777777" w:rsidR="00D31FBB" w:rsidRPr="00A92CED" w:rsidRDefault="00D31FBB" w:rsidP="00D15EFA">
            <w:pPr>
              <w:pStyle w:val="ListParagraph"/>
              <w:numPr>
                <w:ilvl w:val="0"/>
                <w:numId w:val="1"/>
              </w:numPr>
              <w:jc w:val="center"/>
              <w:rPr>
                <w:lang w:val="fr-CA"/>
              </w:rPr>
            </w:pPr>
          </w:p>
        </w:tc>
        <w:tc>
          <w:tcPr>
            <w:tcW w:w="3715" w:type="dxa"/>
          </w:tcPr>
          <w:p w14:paraId="3C1662E8" w14:textId="23C01EFF" w:rsidR="00D31FBB" w:rsidRPr="00A92CED" w:rsidRDefault="00D31FBB" w:rsidP="00D15EFA">
            <w:pPr>
              <w:rPr>
                <w:lang w:val="fr-CA"/>
              </w:rPr>
            </w:pPr>
            <w:r w:rsidRPr="00A92CED">
              <w:rPr>
                <w:b/>
                <w:lang w:val="fr-CA"/>
              </w:rPr>
              <w:t>422</w:t>
            </w:r>
            <w:r w:rsidRPr="00A92CED">
              <w:rPr>
                <w:lang w:val="fr-CA"/>
              </w:rPr>
              <w:t xml:space="preserve"> (1) Pour obtenir un certificat de technicien en pyrotechnie (aide-artificier), une personne a terminé avec succès le cours de sensibilisation à la sécurité et aux aspects légaux soulevés par l’utilisation des pièces pyrotechniques à grand déploiement offert par la Division de la réglementation des explosifs, ministère des Ressources naturelles, ou un cours équivalent certifié par le ministre.</w:t>
            </w:r>
          </w:p>
        </w:tc>
        <w:tc>
          <w:tcPr>
            <w:tcW w:w="4097" w:type="dxa"/>
            <w:gridSpan w:val="2"/>
          </w:tcPr>
          <w:p w14:paraId="41DD41C9" w14:textId="55CDF442" w:rsidR="00D31FBB" w:rsidRPr="00A92CED" w:rsidRDefault="00D31FBB" w:rsidP="00D15EFA">
            <w:pPr>
              <w:rPr>
                <w:lang w:val="fr-CA"/>
              </w:rPr>
            </w:pPr>
            <w:r w:rsidRPr="00A92CED">
              <w:rPr>
                <w:lang w:val="fr-CA"/>
              </w:rPr>
              <w:t>Modifier l’article 422 pour supprimer le paragraphe (1).</w:t>
            </w:r>
          </w:p>
        </w:tc>
        <w:tc>
          <w:tcPr>
            <w:tcW w:w="3122" w:type="dxa"/>
          </w:tcPr>
          <w:p w14:paraId="60319E40" w14:textId="6B40C9D2" w:rsidR="00D31FBB" w:rsidRPr="00A92CED" w:rsidRDefault="00D31FBB" w:rsidP="00D15EFA">
            <w:pPr>
              <w:rPr>
                <w:lang w:val="fr-CA"/>
              </w:rPr>
            </w:pPr>
            <w:r w:rsidRPr="00A92CED">
              <w:rPr>
                <w:lang w:val="fr-CA"/>
              </w:rPr>
              <w:t xml:space="preserve">Cet amendement proposé appuie l’intention de la politique de supprimer l’exigence stipulant qu’un aide-artificier doit obtenir un certificat délivré par RNCan tout en maintenant un niveau de sécurité équivalent. En vertu des amendements proposés à l’article 428, l’aide-artificier devra avoir terminé avec succès un cours de sensibilisation à la sécurité et aux aspects légaux soulevés par l’utilisation des pièces pyrotechniques certifié </w:t>
            </w:r>
            <w:r w:rsidRPr="00A92CED">
              <w:rPr>
                <w:lang w:val="fr-CA"/>
              </w:rPr>
              <w:lastRenderedPageBreak/>
              <w:t xml:space="preserve">par le ministre et devra utiliser les pièces pyrotechniques sous la supervision directe d’un artificier. </w:t>
            </w:r>
          </w:p>
        </w:tc>
        <w:tc>
          <w:tcPr>
            <w:tcW w:w="3087" w:type="dxa"/>
          </w:tcPr>
          <w:p w14:paraId="75BFE781" w14:textId="77777777" w:rsidR="00D31FBB" w:rsidRPr="00A92CED" w:rsidRDefault="00D31FBB" w:rsidP="00D15EFA">
            <w:pPr>
              <w:rPr>
                <w:lang w:val="fr-CA"/>
              </w:rPr>
            </w:pPr>
          </w:p>
        </w:tc>
      </w:tr>
      <w:tr w:rsidR="00A92CED" w:rsidRPr="00A92CED" w14:paraId="664C3261" w14:textId="5E2139FF" w:rsidTr="00E10233">
        <w:tc>
          <w:tcPr>
            <w:tcW w:w="3126" w:type="dxa"/>
          </w:tcPr>
          <w:p w14:paraId="17EAEAB4" w14:textId="77777777" w:rsidR="00D31FBB" w:rsidRPr="00A92CED" w:rsidRDefault="00D31FBB" w:rsidP="00D15EFA">
            <w:pPr>
              <w:pStyle w:val="ListParagraph"/>
              <w:numPr>
                <w:ilvl w:val="0"/>
                <w:numId w:val="1"/>
              </w:numPr>
              <w:jc w:val="center"/>
              <w:rPr>
                <w:lang w:val="fr-CA"/>
              </w:rPr>
            </w:pPr>
          </w:p>
        </w:tc>
        <w:tc>
          <w:tcPr>
            <w:tcW w:w="3715" w:type="dxa"/>
          </w:tcPr>
          <w:p w14:paraId="2A3ACB1E" w14:textId="25E3C302" w:rsidR="00D31FBB" w:rsidRPr="00A92CED" w:rsidRDefault="00D31FBB" w:rsidP="00D15EFA">
            <w:pPr>
              <w:rPr>
                <w:b/>
                <w:lang w:val="fr-CA"/>
              </w:rPr>
            </w:pPr>
            <w:r w:rsidRPr="00A92CED">
              <w:rPr>
                <w:b/>
                <w:lang w:val="fr-CA"/>
              </w:rPr>
              <w:t xml:space="preserve">422 </w:t>
            </w:r>
            <w:r w:rsidRPr="00A92CED">
              <w:rPr>
                <w:rFonts w:ascii="Calibri" w:hAnsi="Calibri" w:cs="Calibri"/>
                <w:lang w:val="fr-CA"/>
              </w:rPr>
              <w:t>(4)</w:t>
            </w:r>
            <w:r w:rsidRPr="00A92CED">
              <w:rPr>
                <w:rFonts w:ascii="Calibri" w:hAnsi="Calibri" w:cs="Calibri"/>
                <w:b/>
                <w:bCs/>
                <w:lang w:val="fr-CA"/>
              </w:rPr>
              <w:t xml:space="preserve"> </w:t>
            </w:r>
            <w:r w:rsidRPr="00A92CED">
              <w:rPr>
                <w:rFonts w:ascii="Calibri" w:hAnsi="Calibri" w:cs="Calibri"/>
                <w:lang w:val="fr-CA"/>
              </w:rPr>
              <w:t>Pour obtenir un certificat de technicien en pyrotechnie (artificier visiteur), une personne réside à l’extérieur du Canada et possède en matière d’utilisation des pièces pyrotechniques l’expérience nécessaire pour lui permettre d’effectuer en toute sécurité les mêmes activités que le titulaire d’un certificat de technicien en pyrotechnie (aide-artificier).</w:t>
            </w:r>
          </w:p>
        </w:tc>
        <w:tc>
          <w:tcPr>
            <w:tcW w:w="4097" w:type="dxa"/>
            <w:gridSpan w:val="2"/>
          </w:tcPr>
          <w:p w14:paraId="2C8EFB91" w14:textId="219586D3" w:rsidR="00D31FBB" w:rsidRPr="00A92CED" w:rsidRDefault="00D31FBB" w:rsidP="00D15EFA">
            <w:pPr>
              <w:rPr>
                <w:lang w:val="fr-CA"/>
              </w:rPr>
            </w:pPr>
            <w:r w:rsidRPr="00A92CED">
              <w:rPr>
                <w:lang w:val="fr-CA"/>
              </w:rPr>
              <w:t xml:space="preserve">Modifier le paragraphe 422(4) pour remplacer </w:t>
            </w:r>
            <w:r w:rsidRPr="00A92CED">
              <w:rPr>
                <w:rFonts w:cstheme="minorHAnsi"/>
                <w:lang w:val="fr-CA"/>
              </w:rPr>
              <w:t>« que le titulaire d’un certificat de technicien en pyrotechnie (aide-artificier) </w:t>
            </w:r>
            <w:r w:rsidRPr="00A92CED">
              <w:rPr>
                <w:rFonts w:ascii="Calibri" w:hAnsi="Calibri" w:cs="Calibri"/>
                <w:lang w:val="fr-CA"/>
              </w:rPr>
              <w:t xml:space="preserve">» par </w:t>
            </w:r>
            <w:r w:rsidRPr="00A92CED">
              <w:rPr>
                <w:rFonts w:cstheme="minorHAnsi"/>
                <w:lang w:val="fr-CA"/>
              </w:rPr>
              <w:t>« qu’un aide-artificier </w:t>
            </w:r>
            <w:r w:rsidRPr="00A92CED">
              <w:rPr>
                <w:rFonts w:ascii="Calibri" w:hAnsi="Calibri" w:cs="Calibri"/>
                <w:lang w:val="fr-CA"/>
              </w:rPr>
              <w:t>».</w:t>
            </w:r>
          </w:p>
        </w:tc>
        <w:tc>
          <w:tcPr>
            <w:tcW w:w="3122" w:type="dxa"/>
          </w:tcPr>
          <w:p w14:paraId="0455AFF6" w14:textId="269744B5" w:rsidR="00D31FBB" w:rsidRPr="00A92CED" w:rsidRDefault="00D31FBB" w:rsidP="00D15EFA">
            <w:pPr>
              <w:rPr>
                <w:lang w:val="fr-CA"/>
              </w:rPr>
            </w:pPr>
            <w:r w:rsidRPr="00A92CED">
              <w:rPr>
                <w:lang w:val="fr-CA"/>
              </w:rPr>
              <w:t>Cet amendement proposé appuie l’intention de la politique de supprimer l’obligation pour les aides-artificiers d’obtenir un certificat de RNCan.</w:t>
            </w:r>
          </w:p>
        </w:tc>
        <w:tc>
          <w:tcPr>
            <w:tcW w:w="3087" w:type="dxa"/>
          </w:tcPr>
          <w:p w14:paraId="3BBAC879" w14:textId="77777777" w:rsidR="00D31FBB" w:rsidRPr="00A92CED" w:rsidRDefault="00D31FBB" w:rsidP="00D15EFA">
            <w:pPr>
              <w:rPr>
                <w:lang w:val="fr-CA"/>
              </w:rPr>
            </w:pPr>
          </w:p>
        </w:tc>
      </w:tr>
      <w:tr w:rsidR="00A92CED" w:rsidRPr="00A92CED" w14:paraId="6F0E51A0" w14:textId="07A9A5D3" w:rsidTr="00E10233">
        <w:tc>
          <w:tcPr>
            <w:tcW w:w="3126" w:type="dxa"/>
          </w:tcPr>
          <w:p w14:paraId="19785B9C" w14:textId="77777777" w:rsidR="00D31FBB" w:rsidRPr="00A92CED" w:rsidRDefault="00D31FBB" w:rsidP="00D15EFA">
            <w:pPr>
              <w:pStyle w:val="ListParagraph"/>
              <w:numPr>
                <w:ilvl w:val="0"/>
                <w:numId w:val="1"/>
              </w:numPr>
              <w:jc w:val="center"/>
              <w:rPr>
                <w:lang w:val="fr-CA"/>
              </w:rPr>
            </w:pPr>
          </w:p>
        </w:tc>
        <w:tc>
          <w:tcPr>
            <w:tcW w:w="3715" w:type="dxa"/>
          </w:tcPr>
          <w:p w14:paraId="73CCAFA0" w14:textId="1B474C89" w:rsidR="00D31FBB" w:rsidRPr="00A92CED" w:rsidRDefault="00D31FBB" w:rsidP="00D15EFA">
            <w:pPr>
              <w:rPr>
                <w:lang w:val="fr-CA"/>
              </w:rPr>
            </w:pPr>
            <w:r w:rsidRPr="00A92CED">
              <w:rPr>
                <w:b/>
                <w:lang w:val="fr-CA"/>
              </w:rPr>
              <w:t>422</w:t>
            </w:r>
            <w:r w:rsidRPr="00A92CED">
              <w:rPr>
                <w:lang w:val="fr-CA"/>
              </w:rPr>
              <w:t xml:space="preserve"> (1) Pour obtenir un certificat de technicien en pyrotechnie (aide-artificier), une personne a terminé avec succès le cours de sensibilisation à la sécurité et aux aspects légaux soulevés par l’utilisation des pièces pyrotechniques à grand déploiement offert par la Division de la réglementation des explosifs, ministère des Ressources naturelles, ou un cours équivalent certifié par le ministre.</w:t>
            </w:r>
          </w:p>
          <w:p w14:paraId="0B568641" w14:textId="77777777" w:rsidR="00D31FBB" w:rsidRPr="00A92CED" w:rsidRDefault="00D31FBB" w:rsidP="00D15EFA">
            <w:pPr>
              <w:rPr>
                <w:b/>
                <w:lang w:val="fr-CA"/>
              </w:rPr>
            </w:pPr>
          </w:p>
          <w:p w14:paraId="65EE3C0B" w14:textId="32222CB7" w:rsidR="00D31FBB" w:rsidRPr="00A92CED" w:rsidRDefault="00D31FBB" w:rsidP="00D15EFA">
            <w:pPr>
              <w:rPr>
                <w:rFonts w:ascii="Calibri" w:hAnsi="Calibri" w:cs="Calibri"/>
                <w:lang w:val="fr-CA"/>
              </w:rPr>
            </w:pPr>
            <w:r w:rsidRPr="00A92CED">
              <w:rPr>
                <w:rFonts w:ascii="Calibri" w:hAnsi="Calibri" w:cs="Calibri"/>
                <w:lang w:val="fr-CA"/>
              </w:rPr>
              <w:t xml:space="preserve">(2) Pour obtenir un certificat de technicien en pyrotechnie (artificier), une personne a exercé la fonction d’aide artificier dans le cadre d’au moins trois spectacles pyrotechniques </w:t>
            </w:r>
            <w:r w:rsidRPr="00A92CED">
              <w:rPr>
                <w:rFonts w:ascii="Calibri" w:hAnsi="Calibri" w:cs="Calibri"/>
                <w:lang w:val="fr-CA"/>
              </w:rPr>
              <w:lastRenderedPageBreak/>
              <w:t>dans les cinq années suivant la date à laquelle elle a terminé le cours de sensibilisation à la sécurité et aux aspects légaux soulevés par l’utilisation des pièces pyrotechniques à grand déploiement ou un cours équivalent.</w:t>
            </w:r>
          </w:p>
          <w:p w14:paraId="47F41C43" w14:textId="77777777" w:rsidR="00D31FBB" w:rsidRPr="00A92CED" w:rsidRDefault="00D31FBB" w:rsidP="00D15EFA">
            <w:pPr>
              <w:rPr>
                <w:rFonts w:ascii="Georgia" w:hAnsi="Georgia"/>
                <w:sz w:val="20"/>
                <w:szCs w:val="20"/>
                <w:lang w:val="fr-CA"/>
              </w:rPr>
            </w:pPr>
          </w:p>
          <w:p w14:paraId="7B223FD1" w14:textId="5F15CDF5" w:rsidR="00D31FBB" w:rsidRPr="00A92CED" w:rsidRDefault="00D31FBB" w:rsidP="00D15EFA">
            <w:pPr>
              <w:rPr>
                <w:rFonts w:ascii="Calibri" w:hAnsi="Calibri" w:cs="Calibri"/>
                <w:lang w:val="fr-CA"/>
              </w:rPr>
            </w:pPr>
            <w:r w:rsidRPr="00A92CED">
              <w:rPr>
                <w:rFonts w:ascii="Calibri" w:hAnsi="Calibri" w:cs="Calibri"/>
                <w:lang w:val="fr-CA"/>
              </w:rPr>
              <w:t>(3)</w:t>
            </w:r>
            <w:r w:rsidRPr="00A92CED">
              <w:rPr>
                <w:rFonts w:ascii="Calibri" w:hAnsi="Calibri" w:cs="Calibri"/>
                <w:b/>
                <w:bCs/>
                <w:lang w:val="fr-CA"/>
              </w:rPr>
              <w:t xml:space="preserve"> </w:t>
            </w:r>
            <w:r w:rsidRPr="00A92CED">
              <w:rPr>
                <w:rFonts w:ascii="Calibri" w:hAnsi="Calibri" w:cs="Calibri"/>
                <w:lang w:val="fr-CA"/>
              </w:rPr>
              <w:t>Pour obtenir un certificat de technicien en pyrotechnie (artificier avec mention), le titulaire d’un certificat de</w:t>
            </w:r>
            <w:r w:rsidRPr="00A92CED">
              <w:rPr>
                <w:rFonts w:ascii="Calibri" w:hAnsi="Calibri" w:cs="Calibri"/>
                <w:lang w:val="fr-CA"/>
              </w:rPr>
              <w:br/>
              <w:t>technicien en pyrotechnie (artificier), selon le cas :</w:t>
            </w:r>
          </w:p>
          <w:p w14:paraId="7CCEB34F" w14:textId="0E2355E7" w:rsidR="00D31FBB" w:rsidRPr="00A92CED" w:rsidRDefault="00D31FBB" w:rsidP="00D15EFA">
            <w:pPr>
              <w:ind w:left="720"/>
              <w:rPr>
                <w:rFonts w:ascii="Calibri" w:hAnsi="Calibri" w:cs="Calibri"/>
                <w:lang w:val="fr-CA"/>
              </w:rPr>
            </w:pPr>
            <w:r w:rsidRPr="00A92CED">
              <w:rPr>
                <w:rFonts w:ascii="Calibri" w:hAnsi="Calibri" w:cs="Calibri"/>
                <w:lang w:val="fr-CA"/>
              </w:rPr>
              <w:t>a)</w:t>
            </w:r>
            <w:r w:rsidRPr="00A92CED">
              <w:rPr>
                <w:rFonts w:ascii="Calibri" w:hAnsi="Calibri" w:cs="Calibri"/>
                <w:b/>
                <w:bCs/>
                <w:lang w:val="fr-CA"/>
              </w:rPr>
              <w:t xml:space="preserve"> </w:t>
            </w:r>
            <w:r w:rsidRPr="00A92CED">
              <w:rPr>
                <w:rFonts w:ascii="Calibri" w:hAnsi="Calibri" w:cs="Calibri"/>
                <w:lang w:val="fr-CA"/>
              </w:rPr>
              <w:t>a terminé avec succès un cours avancé certifié par le ministre sur la sécurité d’utilisation des sites de mise à feu ou des pièces pyrotechniques à l’égard desquels il désire obtenir la mention;</w:t>
            </w:r>
            <w:r w:rsidRPr="00A92CED">
              <w:rPr>
                <w:rFonts w:ascii="Calibri" w:hAnsi="Calibri" w:cs="Calibri"/>
                <w:lang w:val="fr-CA"/>
              </w:rPr>
              <w:br/>
              <w:t>b)</w:t>
            </w:r>
            <w:r w:rsidRPr="00A92CED">
              <w:rPr>
                <w:rFonts w:ascii="Calibri" w:hAnsi="Calibri" w:cs="Calibri"/>
                <w:b/>
                <w:bCs/>
                <w:lang w:val="fr-CA"/>
              </w:rPr>
              <w:t xml:space="preserve"> </w:t>
            </w:r>
            <w:r w:rsidRPr="00A92CED">
              <w:rPr>
                <w:rFonts w:ascii="Calibri" w:hAnsi="Calibri" w:cs="Calibri"/>
                <w:lang w:val="fr-CA"/>
              </w:rPr>
              <w:t>prouve au ministre qu’il a acquis, sous la supervision directe d’un artificier responsable, l’expérience</w:t>
            </w:r>
            <w:r w:rsidRPr="00A92CED">
              <w:rPr>
                <w:rFonts w:ascii="Calibri" w:hAnsi="Calibri" w:cs="Calibri"/>
                <w:lang w:val="fr-CA"/>
              </w:rPr>
              <w:br/>
              <w:t>nécessaire pour effectuer en toute sécurité les fonctions visées par la mention.</w:t>
            </w:r>
          </w:p>
          <w:p w14:paraId="47AFE125" w14:textId="77777777" w:rsidR="00D31FBB" w:rsidRPr="00A92CED" w:rsidRDefault="00D31FBB" w:rsidP="00D15EFA">
            <w:pPr>
              <w:rPr>
                <w:rFonts w:ascii="Calibri" w:hAnsi="Calibri" w:cs="Calibri"/>
                <w:b/>
                <w:lang w:val="fr-CA"/>
              </w:rPr>
            </w:pPr>
          </w:p>
          <w:p w14:paraId="395F2579" w14:textId="5329BC44" w:rsidR="00D31FBB" w:rsidRPr="00A92CED" w:rsidRDefault="00D31FBB" w:rsidP="00D15EFA">
            <w:pPr>
              <w:rPr>
                <w:b/>
                <w:lang w:val="fr-CA"/>
              </w:rPr>
            </w:pPr>
            <w:r w:rsidRPr="00A92CED">
              <w:rPr>
                <w:rFonts w:ascii="Calibri" w:hAnsi="Calibri" w:cs="Calibri"/>
                <w:lang w:val="fr-CA"/>
              </w:rPr>
              <w:t>(4)</w:t>
            </w:r>
            <w:r w:rsidRPr="00A92CED">
              <w:rPr>
                <w:rFonts w:ascii="Calibri" w:hAnsi="Calibri" w:cs="Calibri"/>
                <w:b/>
                <w:bCs/>
                <w:lang w:val="fr-CA"/>
              </w:rPr>
              <w:t xml:space="preserve"> </w:t>
            </w:r>
            <w:r w:rsidRPr="00A92CED">
              <w:rPr>
                <w:rFonts w:ascii="Calibri" w:hAnsi="Calibri" w:cs="Calibri"/>
                <w:lang w:val="fr-CA"/>
              </w:rPr>
              <w:t xml:space="preserve">Pour obtenir un certificat de technicien en pyrotechnie (artificier visiteur), une personne réside à </w:t>
            </w:r>
            <w:r w:rsidRPr="00A92CED">
              <w:rPr>
                <w:rFonts w:ascii="Calibri" w:hAnsi="Calibri" w:cs="Calibri"/>
                <w:lang w:val="fr-CA"/>
              </w:rPr>
              <w:lastRenderedPageBreak/>
              <w:t>l’extérieur du Canada et possède en matière d’utilisation des pièces pyrotechniques l’expérience nécessaire pour lui permettre d’effectuer en toute sécurité les mêmes activités que le titulaire d’un certificat de technicien en pyrotechnie (aide-artificier).</w:t>
            </w:r>
          </w:p>
        </w:tc>
        <w:tc>
          <w:tcPr>
            <w:tcW w:w="4097" w:type="dxa"/>
            <w:gridSpan w:val="2"/>
          </w:tcPr>
          <w:p w14:paraId="122D5678" w14:textId="653C303D" w:rsidR="00D31FBB" w:rsidRPr="00A92CED" w:rsidRDefault="00D31FBB" w:rsidP="00D15EFA">
            <w:pPr>
              <w:rPr>
                <w:lang w:val="fr-CA"/>
              </w:rPr>
            </w:pPr>
            <w:r w:rsidRPr="00A92CED">
              <w:rPr>
                <w:lang w:val="fr-CA"/>
              </w:rPr>
              <w:lastRenderedPageBreak/>
              <w:t>Modifier l’article 422 pour ajouter une nouvelle exigence stipulant que l’aide-artificier doit terminer avec succès, tous les cinq ans, le cours de sensibilisation à la sécurité et aux aspects légaux soulevés par l’utilisation des pièces pyrotechniques à grand déploiement certifié par le ministre pour pouvoir continuer à travailler en tant qu’aide-artificier.</w:t>
            </w:r>
          </w:p>
        </w:tc>
        <w:tc>
          <w:tcPr>
            <w:tcW w:w="3122" w:type="dxa"/>
          </w:tcPr>
          <w:p w14:paraId="705B0651" w14:textId="018E7C3C" w:rsidR="00D31FBB" w:rsidRPr="00A92CED" w:rsidRDefault="00D31FBB" w:rsidP="00D15EFA">
            <w:pPr>
              <w:rPr>
                <w:lang w:val="fr-CA"/>
              </w:rPr>
            </w:pPr>
            <w:r w:rsidRPr="00A92CED">
              <w:rPr>
                <w:lang w:val="fr-CA"/>
              </w:rPr>
              <w:t>Cet amendement proposé appuie l’intention de la politique de supprimer l’obligation pour les aides-artificiers d’obtenir un certificat de RNCan.</w:t>
            </w:r>
          </w:p>
        </w:tc>
        <w:tc>
          <w:tcPr>
            <w:tcW w:w="3087" w:type="dxa"/>
          </w:tcPr>
          <w:p w14:paraId="124B374B" w14:textId="77777777" w:rsidR="00D31FBB" w:rsidRPr="00A92CED" w:rsidRDefault="00D31FBB" w:rsidP="00D15EFA">
            <w:pPr>
              <w:rPr>
                <w:lang w:val="fr-CA"/>
              </w:rPr>
            </w:pPr>
          </w:p>
        </w:tc>
      </w:tr>
      <w:tr w:rsidR="00A92CED" w:rsidRPr="00A92CED" w14:paraId="5ECD7C07" w14:textId="6A94EF17" w:rsidTr="00E10233">
        <w:tc>
          <w:tcPr>
            <w:tcW w:w="3126" w:type="dxa"/>
          </w:tcPr>
          <w:p w14:paraId="5258F65D" w14:textId="77777777" w:rsidR="00D31FBB" w:rsidRPr="00A92CED" w:rsidRDefault="00D31FBB" w:rsidP="00D15EFA">
            <w:pPr>
              <w:pStyle w:val="ListParagraph"/>
              <w:numPr>
                <w:ilvl w:val="0"/>
                <w:numId w:val="1"/>
              </w:numPr>
              <w:jc w:val="center"/>
              <w:rPr>
                <w:lang w:val="fr-CA"/>
              </w:rPr>
            </w:pPr>
          </w:p>
        </w:tc>
        <w:tc>
          <w:tcPr>
            <w:tcW w:w="3715" w:type="dxa"/>
          </w:tcPr>
          <w:p w14:paraId="63510767" w14:textId="79CE0C3E" w:rsidR="00D31FBB" w:rsidRPr="00A92CED" w:rsidRDefault="00D31FBB" w:rsidP="00D15EFA">
            <w:pPr>
              <w:rPr>
                <w:lang w:val="fr-CA"/>
              </w:rPr>
            </w:pPr>
            <w:r w:rsidRPr="00A92CED">
              <w:rPr>
                <w:b/>
                <w:lang w:val="fr-CA"/>
              </w:rPr>
              <w:t>423</w:t>
            </w:r>
            <w:r w:rsidRPr="00A92CED">
              <w:rPr>
                <w:lang w:val="fr-CA"/>
              </w:rPr>
              <w:t xml:space="preserve"> (1) Le demandeur d’un certificat de technicien en pyrotechnie (aide-artificier) remplit, signe et fait parvenir à l’inspecteur en chef des explosifs le formulaire de demande fourni par le ministère des Ressources naturelles.</w:t>
            </w:r>
          </w:p>
          <w:p w14:paraId="3695D9A7" w14:textId="77777777" w:rsidR="00D31FBB" w:rsidRPr="00A92CED" w:rsidRDefault="00D31FBB" w:rsidP="00D15EFA">
            <w:pPr>
              <w:rPr>
                <w:lang w:val="fr-CA"/>
              </w:rPr>
            </w:pPr>
            <w:r w:rsidRPr="00A92CED">
              <w:rPr>
                <w:lang w:val="fr-CA"/>
              </w:rPr>
              <w:t>La demande contient les renseignements et les documents suivants :</w:t>
            </w:r>
          </w:p>
          <w:p w14:paraId="2DCBB057" w14:textId="77777777" w:rsidR="00D31FBB" w:rsidRPr="00A92CED" w:rsidRDefault="00D31FBB" w:rsidP="00D15EFA">
            <w:pPr>
              <w:ind w:left="720"/>
              <w:rPr>
                <w:lang w:val="fr-CA"/>
              </w:rPr>
            </w:pPr>
            <w:r w:rsidRPr="00A92CED">
              <w:rPr>
                <w:lang w:val="fr-CA"/>
              </w:rPr>
              <w:t>(a) les nom, date de naissance, adresse, numéro de téléphone, numéro de télécopieur et adresse électronique du demandeur;</w:t>
            </w:r>
          </w:p>
          <w:p w14:paraId="7A38B6D2" w14:textId="75966E1D" w:rsidR="00D31FBB" w:rsidRPr="00A92CED" w:rsidRDefault="00D31FBB" w:rsidP="00D15EFA">
            <w:pPr>
              <w:ind w:left="720"/>
              <w:rPr>
                <w:lang w:val="fr-CA"/>
              </w:rPr>
            </w:pPr>
            <w:r w:rsidRPr="00A92CED">
              <w:rPr>
                <w:lang w:val="fr-CA"/>
              </w:rPr>
              <w:t>(b) le nom de toute organisation d’artificiers dont il est membre;</w:t>
            </w:r>
          </w:p>
          <w:p w14:paraId="6CCA7F7C" w14:textId="77777777" w:rsidR="00D31FBB" w:rsidRPr="00A92CED" w:rsidRDefault="00D31FBB" w:rsidP="00D15EFA">
            <w:pPr>
              <w:ind w:left="720"/>
              <w:rPr>
                <w:lang w:val="fr-CA"/>
              </w:rPr>
            </w:pPr>
            <w:r w:rsidRPr="00A92CED">
              <w:rPr>
                <w:lang w:val="fr-CA"/>
              </w:rPr>
              <w:t>(c) une photo de lui prise dans les douze mois précédant la demande;</w:t>
            </w:r>
          </w:p>
          <w:p w14:paraId="2F89B926" w14:textId="4ACD9334" w:rsidR="00D31FBB" w:rsidRPr="00A92CED" w:rsidRDefault="00D31FBB" w:rsidP="00D15EFA">
            <w:pPr>
              <w:ind w:left="720"/>
              <w:rPr>
                <w:lang w:val="fr-CA"/>
              </w:rPr>
            </w:pPr>
            <w:r w:rsidRPr="00A92CED">
              <w:rPr>
                <w:lang w:val="fr-CA"/>
              </w:rPr>
              <w:t xml:space="preserve">(d) la preuve qu’il a terminé avec succès le cours de sensibilisation à la sécurité et aux aspects légaux soulevés par l’utilisation des pièces </w:t>
            </w:r>
            <w:r w:rsidRPr="00A92CED">
              <w:rPr>
                <w:lang w:val="fr-CA"/>
              </w:rPr>
              <w:lastRenderedPageBreak/>
              <w:t>pyrotechniques à grand déploiement offert par la Division de la réglementation des explosifs, ministère des Ressources naturelles, ou un cours équivalent certifié par le ministre.</w:t>
            </w:r>
          </w:p>
          <w:p w14:paraId="5190BF72" w14:textId="77777777" w:rsidR="00D31FBB" w:rsidRPr="00A92CED" w:rsidRDefault="00D31FBB" w:rsidP="00D15EFA">
            <w:pPr>
              <w:ind w:left="720"/>
              <w:rPr>
                <w:lang w:val="fr-CA"/>
              </w:rPr>
            </w:pPr>
          </w:p>
          <w:p w14:paraId="39F01F9C" w14:textId="4BDE25F2" w:rsidR="00D31FBB" w:rsidRPr="00A92CED" w:rsidRDefault="00D31FBB" w:rsidP="00D15EFA">
            <w:pPr>
              <w:rPr>
                <w:b/>
                <w:lang w:val="fr-CA"/>
              </w:rPr>
            </w:pPr>
            <w:r w:rsidRPr="00A92CED">
              <w:rPr>
                <w:lang w:val="fr-CA"/>
              </w:rPr>
              <w:t>(2) Le demandeur qui, au moment de la présentation de sa demande, n’a pas terminé le cours de sensibilisation à la sécurité et aux aspects légaux soulevés par l’utilisation des pièces pyrotechniques à grand déploiement ou un cours équivalent certifié peut, dans les six mois qui suivent, présenter à l’inspecteur en chef des explosifs la preuve qu’il a terminé avec succès le cours.</w:t>
            </w:r>
          </w:p>
        </w:tc>
        <w:tc>
          <w:tcPr>
            <w:tcW w:w="4097" w:type="dxa"/>
            <w:gridSpan w:val="2"/>
          </w:tcPr>
          <w:p w14:paraId="4BF964A2" w14:textId="72B5432C" w:rsidR="00D31FBB" w:rsidRPr="00A92CED" w:rsidRDefault="00D31FBB" w:rsidP="00D15EFA">
            <w:pPr>
              <w:rPr>
                <w:lang w:val="fr-CA"/>
              </w:rPr>
            </w:pPr>
            <w:r w:rsidRPr="00A92CED">
              <w:rPr>
                <w:lang w:val="fr-CA"/>
              </w:rPr>
              <w:lastRenderedPageBreak/>
              <w:t xml:space="preserve">Modifier l’article 423 pour supprimer les paragraphes (1) et (2). </w:t>
            </w:r>
          </w:p>
        </w:tc>
        <w:tc>
          <w:tcPr>
            <w:tcW w:w="3122" w:type="dxa"/>
          </w:tcPr>
          <w:p w14:paraId="39968733" w14:textId="328BBF21" w:rsidR="00D31FBB" w:rsidRPr="00A92CED" w:rsidRDefault="00D31FBB" w:rsidP="00D15EFA">
            <w:pPr>
              <w:rPr>
                <w:rFonts w:cstheme="minorHAnsi"/>
                <w:lang w:val="fr-CA"/>
              </w:rPr>
            </w:pPr>
            <w:r w:rsidRPr="00A92CED">
              <w:rPr>
                <w:lang w:val="fr-CA"/>
              </w:rPr>
              <w:t>Cet amendement proposé appuie l’intention de la politique de supprimer l’exigence stipulant qu’un aide-artificier doit obtenir un certificat délivré par RNCan.</w:t>
            </w:r>
          </w:p>
        </w:tc>
        <w:tc>
          <w:tcPr>
            <w:tcW w:w="3087" w:type="dxa"/>
          </w:tcPr>
          <w:p w14:paraId="6EA5440F" w14:textId="77777777" w:rsidR="00D31FBB" w:rsidRPr="00A92CED" w:rsidRDefault="00D31FBB" w:rsidP="00D15EFA">
            <w:pPr>
              <w:rPr>
                <w:lang w:val="fr-CA"/>
              </w:rPr>
            </w:pPr>
          </w:p>
        </w:tc>
      </w:tr>
      <w:tr w:rsidR="00A92CED" w:rsidRPr="00A92CED" w14:paraId="0AA9B69A" w14:textId="5530D335" w:rsidTr="00E10233">
        <w:tc>
          <w:tcPr>
            <w:tcW w:w="3126" w:type="dxa"/>
          </w:tcPr>
          <w:p w14:paraId="655DFF8E" w14:textId="77777777" w:rsidR="00D31FBB" w:rsidRPr="00A92CED" w:rsidRDefault="00D31FBB" w:rsidP="00D15EFA">
            <w:pPr>
              <w:pStyle w:val="ListParagraph"/>
              <w:numPr>
                <w:ilvl w:val="0"/>
                <w:numId w:val="1"/>
              </w:numPr>
              <w:jc w:val="center"/>
              <w:rPr>
                <w:lang w:val="fr-CA"/>
              </w:rPr>
            </w:pPr>
          </w:p>
        </w:tc>
        <w:tc>
          <w:tcPr>
            <w:tcW w:w="3715" w:type="dxa"/>
          </w:tcPr>
          <w:p w14:paraId="6A168280" w14:textId="6E0914A6" w:rsidR="00D31FBB" w:rsidRPr="00A92CED" w:rsidRDefault="00D31FBB" w:rsidP="00D15EFA">
            <w:pPr>
              <w:rPr>
                <w:lang w:val="fr-CA"/>
              </w:rPr>
            </w:pPr>
            <w:r w:rsidRPr="00A92CED">
              <w:rPr>
                <w:b/>
                <w:lang w:val="fr-CA"/>
              </w:rPr>
              <w:t xml:space="preserve">423 </w:t>
            </w:r>
            <w:r w:rsidRPr="00A92CED">
              <w:rPr>
                <w:lang w:val="fr-CA"/>
              </w:rPr>
              <w:t>(3) Pour obtenir un certificat de technicien en pyrotechnie (artificier), le demandeur remplit, signe et fait parvenir à l’inspecteur en chef des explosifs le formulaire de demande fourni par le ministère des Ressources naturelles. La demande contient les renseignements et les documents suivants :</w:t>
            </w:r>
          </w:p>
          <w:p w14:paraId="7C994B41" w14:textId="77777777" w:rsidR="00D31FBB" w:rsidRPr="00A92CED" w:rsidRDefault="00D31FBB" w:rsidP="00D15EFA">
            <w:pPr>
              <w:ind w:left="720"/>
              <w:rPr>
                <w:lang w:val="fr-CA"/>
              </w:rPr>
            </w:pPr>
            <w:r w:rsidRPr="00A92CED">
              <w:rPr>
                <w:lang w:val="fr-CA"/>
              </w:rPr>
              <w:t>(a) les nom, date de naissance, adresse, numéro de téléphone, numéro de télécopieur et adresse électronique du demandeur;</w:t>
            </w:r>
          </w:p>
          <w:p w14:paraId="1FE8E5E4" w14:textId="1752F717" w:rsidR="00D31FBB" w:rsidRPr="00A92CED" w:rsidRDefault="00D31FBB" w:rsidP="00D15EFA">
            <w:pPr>
              <w:ind w:left="720"/>
              <w:rPr>
                <w:lang w:val="fr-CA"/>
              </w:rPr>
            </w:pPr>
            <w:r w:rsidRPr="00A92CED">
              <w:rPr>
                <w:lang w:val="fr-CA"/>
              </w:rPr>
              <w:lastRenderedPageBreak/>
              <w:t>(b) le nom de toute organisation d’artificiers dont il est membre;</w:t>
            </w:r>
          </w:p>
          <w:p w14:paraId="44C8173F" w14:textId="71B807C2" w:rsidR="00D31FBB" w:rsidRPr="00A92CED" w:rsidRDefault="00D31FBB" w:rsidP="00D15EFA">
            <w:pPr>
              <w:ind w:left="720"/>
              <w:rPr>
                <w:lang w:val="fr-CA"/>
              </w:rPr>
            </w:pPr>
            <w:r w:rsidRPr="00A92CED">
              <w:rPr>
                <w:lang w:val="fr-CA"/>
              </w:rPr>
              <w:t>(c) le numéro et la date d’expiration de son certificat d’artificier;</w:t>
            </w:r>
          </w:p>
          <w:p w14:paraId="4B30A74D" w14:textId="77777777" w:rsidR="00D31FBB" w:rsidRPr="00A92CED" w:rsidRDefault="00D31FBB" w:rsidP="00D15EFA">
            <w:pPr>
              <w:ind w:left="720"/>
              <w:rPr>
                <w:lang w:val="fr-CA"/>
              </w:rPr>
            </w:pPr>
            <w:r w:rsidRPr="00A92CED">
              <w:rPr>
                <w:lang w:val="fr-CA"/>
              </w:rPr>
              <w:t>(d) une photo de lui prise dans les douze mois précédant la demande;</w:t>
            </w:r>
          </w:p>
          <w:p w14:paraId="248EFF87" w14:textId="15A78646" w:rsidR="00D31FBB" w:rsidRPr="00A92CED" w:rsidRDefault="00D31FBB" w:rsidP="00D15EFA">
            <w:pPr>
              <w:ind w:left="720"/>
              <w:rPr>
                <w:lang w:val="fr-CA"/>
              </w:rPr>
            </w:pPr>
            <w:r w:rsidRPr="00A92CED">
              <w:rPr>
                <w:lang w:val="fr-CA"/>
              </w:rPr>
              <w:t>(e) une copie de son carnet d’activités qui indique :</w:t>
            </w:r>
          </w:p>
          <w:p w14:paraId="1CEDAD9F" w14:textId="0E4BC3C6" w:rsidR="00D31FBB" w:rsidRPr="00A92CED" w:rsidRDefault="00D31FBB" w:rsidP="00D15EFA">
            <w:pPr>
              <w:ind w:left="1440"/>
              <w:rPr>
                <w:lang w:val="fr-CA"/>
              </w:rPr>
            </w:pPr>
            <w:r w:rsidRPr="00A92CED">
              <w:rPr>
                <w:lang w:val="fr-CA"/>
              </w:rPr>
              <w:t>(i) la date et l’endroit de chaque spectacle pyrotechnique dans le cadre duquel il a travaillé, ainsi</w:t>
            </w:r>
          </w:p>
          <w:p w14:paraId="652A5C7D" w14:textId="687B6C0C" w:rsidR="00D31FBB" w:rsidRPr="00A92CED" w:rsidRDefault="00D31FBB" w:rsidP="00D15EFA">
            <w:pPr>
              <w:ind w:left="1440"/>
              <w:rPr>
                <w:lang w:val="fr-CA"/>
              </w:rPr>
            </w:pPr>
            <w:r w:rsidRPr="00A92CED">
              <w:rPr>
                <w:lang w:val="fr-CA"/>
              </w:rPr>
              <w:t>qu’une description des pièces pyrotechniques utilisées,</w:t>
            </w:r>
          </w:p>
          <w:p w14:paraId="252B1C4D" w14:textId="5A5D914A" w:rsidR="00D31FBB" w:rsidRPr="00A92CED" w:rsidRDefault="00D31FBB" w:rsidP="00D15EFA">
            <w:pPr>
              <w:ind w:left="1440"/>
              <w:rPr>
                <w:lang w:val="fr-CA"/>
              </w:rPr>
            </w:pPr>
            <w:r w:rsidRPr="00A92CED">
              <w:rPr>
                <w:lang w:val="fr-CA"/>
              </w:rPr>
              <w:t>(ii) la fonction qu’il exerçait à chaque spectacle pyrotechnique,</w:t>
            </w:r>
          </w:p>
          <w:p w14:paraId="01E9773D" w14:textId="38CD5F0F" w:rsidR="00D31FBB" w:rsidRPr="00A92CED" w:rsidRDefault="00D31FBB" w:rsidP="00D15EFA">
            <w:pPr>
              <w:ind w:left="1440"/>
              <w:rPr>
                <w:lang w:val="fr-CA"/>
              </w:rPr>
            </w:pPr>
            <w:r w:rsidRPr="00A92CED">
              <w:rPr>
                <w:lang w:val="fr-CA"/>
              </w:rPr>
              <w:t>(iii) le nom de l’artificier responsable à chaque</w:t>
            </w:r>
          </w:p>
          <w:p w14:paraId="74901AA6" w14:textId="77777777" w:rsidR="00D31FBB" w:rsidRPr="00A92CED" w:rsidRDefault="00D31FBB" w:rsidP="00D15EFA">
            <w:pPr>
              <w:ind w:left="1440"/>
              <w:rPr>
                <w:lang w:val="fr-CA"/>
              </w:rPr>
            </w:pPr>
            <w:r w:rsidRPr="00A92CED">
              <w:rPr>
                <w:lang w:val="fr-CA"/>
              </w:rPr>
              <w:t>spectacle pyrotechnique;</w:t>
            </w:r>
          </w:p>
          <w:p w14:paraId="6221E6BE" w14:textId="575B5B0D" w:rsidR="00D31FBB" w:rsidRPr="00A92CED" w:rsidRDefault="00D31FBB" w:rsidP="00D15EFA">
            <w:pPr>
              <w:ind w:left="720"/>
              <w:rPr>
                <w:b/>
                <w:lang w:val="fr-CA"/>
              </w:rPr>
            </w:pPr>
            <w:r w:rsidRPr="00A92CED">
              <w:rPr>
                <w:lang w:val="fr-CA"/>
              </w:rPr>
              <w:t>(f) une lettre de recommandation.</w:t>
            </w:r>
          </w:p>
        </w:tc>
        <w:tc>
          <w:tcPr>
            <w:tcW w:w="4097" w:type="dxa"/>
            <w:gridSpan w:val="2"/>
          </w:tcPr>
          <w:p w14:paraId="499DE00A" w14:textId="44E948DC" w:rsidR="00D31FBB" w:rsidRPr="00A92CED" w:rsidRDefault="00D31FBB" w:rsidP="00D15EFA">
            <w:pPr>
              <w:rPr>
                <w:lang w:val="fr-CA"/>
              </w:rPr>
            </w:pPr>
            <w:r w:rsidRPr="00A92CED">
              <w:rPr>
                <w:lang w:val="fr-CA"/>
              </w:rPr>
              <w:lastRenderedPageBreak/>
              <w:t>Modifier le paragraphe 423(3) pour ajouter une nouvelle exigence stipulant que la demande de certificat de technicien en pyrotechnie (artificier) doit également contenir la preuve que le demandeur a terminé avec succès un cours de sensibilisation à la sécurité et aux aspects légaux soulevés par l’utilisation des pièces pyrotechniques à grand déploiement certifié par le ministre.</w:t>
            </w:r>
          </w:p>
        </w:tc>
        <w:tc>
          <w:tcPr>
            <w:tcW w:w="3122" w:type="dxa"/>
          </w:tcPr>
          <w:p w14:paraId="48A8B161" w14:textId="4E8751D9" w:rsidR="00D31FBB" w:rsidRPr="00A92CED" w:rsidRDefault="00D31FBB" w:rsidP="00D15EFA">
            <w:pPr>
              <w:rPr>
                <w:rFonts w:cstheme="minorHAnsi"/>
                <w:lang w:val="fr-CA"/>
              </w:rPr>
            </w:pPr>
            <w:r w:rsidRPr="00A92CED">
              <w:rPr>
                <w:lang w:val="fr-CA"/>
              </w:rPr>
              <w:t xml:space="preserve">Cet amendement proposé appuie l’intention de la politique de supprimer l’exigence stipulant qu’un aide-artificier doit obtenir un certificat délivré par RNCan. Auparavant, les demandeurs d’un certificat de technicien en pyrotechnie (artificier) auraient déjà démontré qu’ils satisfont à cette exigence de formation prévue à l’alinéa 423(1)d) au moment de présenter leur demande de certificat de </w:t>
            </w:r>
            <w:r w:rsidRPr="00A92CED">
              <w:rPr>
                <w:lang w:val="fr-CA"/>
              </w:rPr>
              <w:lastRenderedPageBreak/>
              <w:t xml:space="preserve">technicien en pyrotechnie (aide-artificier). Toutefois, comme les présents amendements proposent de supprimer l’alinéa 423(1)d), cette exigence doit être répétée dans le processus de demande de certificat de technicien en pyrotechnie (artificier) pour maintenir un niveau de sécurité équivalent.  </w:t>
            </w:r>
          </w:p>
        </w:tc>
        <w:tc>
          <w:tcPr>
            <w:tcW w:w="3087" w:type="dxa"/>
          </w:tcPr>
          <w:p w14:paraId="4D23777D" w14:textId="77777777" w:rsidR="00D31FBB" w:rsidRPr="00A92CED" w:rsidRDefault="00D31FBB" w:rsidP="00D15EFA">
            <w:pPr>
              <w:rPr>
                <w:lang w:val="fr-CA"/>
              </w:rPr>
            </w:pPr>
          </w:p>
        </w:tc>
      </w:tr>
      <w:tr w:rsidR="00A92CED" w:rsidRPr="00A92CED" w14:paraId="361B6462" w14:textId="64ABCB14" w:rsidTr="00E10233">
        <w:tc>
          <w:tcPr>
            <w:tcW w:w="3126" w:type="dxa"/>
          </w:tcPr>
          <w:p w14:paraId="2BCED5B0" w14:textId="77777777" w:rsidR="00D31FBB" w:rsidRPr="00A92CED" w:rsidRDefault="00D31FBB" w:rsidP="00D15EFA">
            <w:pPr>
              <w:pStyle w:val="ListParagraph"/>
              <w:numPr>
                <w:ilvl w:val="0"/>
                <w:numId w:val="1"/>
              </w:numPr>
              <w:jc w:val="center"/>
              <w:rPr>
                <w:lang w:val="fr-CA"/>
              </w:rPr>
            </w:pPr>
          </w:p>
        </w:tc>
        <w:tc>
          <w:tcPr>
            <w:tcW w:w="3715" w:type="dxa"/>
          </w:tcPr>
          <w:p w14:paraId="32FE1BB0" w14:textId="4ACAD1DE" w:rsidR="00D31FBB" w:rsidRPr="00A92CED" w:rsidRDefault="00D31FBB" w:rsidP="00D15EFA">
            <w:pPr>
              <w:rPr>
                <w:lang w:val="fr-CA"/>
              </w:rPr>
            </w:pPr>
            <w:r w:rsidRPr="00A92CED">
              <w:rPr>
                <w:b/>
                <w:lang w:val="fr-CA"/>
              </w:rPr>
              <w:t xml:space="preserve">423 </w:t>
            </w:r>
            <w:r w:rsidRPr="00A92CED">
              <w:rPr>
                <w:lang w:val="fr-CA"/>
              </w:rPr>
              <w:t>(3)(c) le numéro et la date d’expiration de son certificat d’artificier;</w:t>
            </w:r>
          </w:p>
          <w:p w14:paraId="38E88D11" w14:textId="77777777" w:rsidR="00D31FBB" w:rsidRPr="00A92CED" w:rsidRDefault="00D31FBB" w:rsidP="00D15EFA">
            <w:pPr>
              <w:rPr>
                <w:b/>
                <w:lang w:val="fr-CA"/>
              </w:rPr>
            </w:pPr>
          </w:p>
        </w:tc>
        <w:tc>
          <w:tcPr>
            <w:tcW w:w="4097" w:type="dxa"/>
            <w:gridSpan w:val="2"/>
          </w:tcPr>
          <w:p w14:paraId="4C788DA2" w14:textId="233B40DA" w:rsidR="00D31FBB" w:rsidRPr="00A92CED" w:rsidRDefault="00D31FBB" w:rsidP="00D15EFA">
            <w:pPr>
              <w:rPr>
                <w:lang w:val="fr-CA"/>
              </w:rPr>
            </w:pPr>
            <w:r w:rsidRPr="00A92CED">
              <w:rPr>
                <w:lang w:val="fr-CA"/>
              </w:rPr>
              <w:lastRenderedPageBreak/>
              <w:t xml:space="preserve">Modifier l’alinéa 423(3)c) pour préciser que cette exigence ne s’applique que s’il y a lieu. </w:t>
            </w:r>
          </w:p>
        </w:tc>
        <w:tc>
          <w:tcPr>
            <w:tcW w:w="3122" w:type="dxa"/>
          </w:tcPr>
          <w:p w14:paraId="47DE4C21" w14:textId="022B8114" w:rsidR="00D31FBB" w:rsidRPr="00A92CED" w:rsidRDefault="00D31FBB" w:rsidP="00D15EFA">
            <w:pPr>
              <w:rPr>
                <w:rFonts w:cstheme="minorHAnsi"/>
                <w:lang w:val="fr-CA"/>
              </w:rPr>
            </w:pPr>
            <w:r w:rsidRPr="00A92CED">
              <w:rPr>
                <w:lang w:val="fr-CA"/>
              </w:rPr>
              <w:t xml:space="preserve">Cet amendement proposé appuie l’intention de la politique de supprimer </w:t>
            </w:r>
            <w:r w:rsidRPr="00A92CED">
              <w:rPr>
                <w:lang w:val="fr-CA"/>
              </w:rPr>
              <w:lastRenderedPageBreak/>
              <w:t xml:space="preserve">l’exigence stipulant qu’un aide-artificier doit obtenir un certificat délivré par RNCan. Cette exigence ne s’appliquera que s’il y a lieu, puisque les demandeurs d’un certificat de technicien en pyrotechnie (artificier) n’auront plus de certificat de technicien en pyrotechnie (aide-artificier), mais certains demandeurs pourraient avoir un certificat de technicien en pyrotechnie (artificier) obtenu antérieurement qu’ils devront fournir dans le cadre de cette demande. </w:t>
            </w:r>
          </w:p>
        </w:tc>
        <w:tc>
          <w:tcPr>
            <w:tcW w:w="3087" w:type="dxa"/>
          </w:tcPr>
          <w:p w14:paraId="2D9AA1D9" w14:textId="77777777" w:rsidR="00D31FBB" w:rsidRPr="00A92CED" w:rsidRDefault="00D31FBB" w:rsidP="00D15EFA">
            <w:pPr>
              <w:rPr>
                <w:lang w:val="fr-CA"/>
              </w:rPr>
            </w:pPr>
          </w:p>
        </w:tc>
      </w:tr>
      <w:tr w:rsidR="00A92CED" w:rsidRPr="00A92CED" w14:paraId="78B2BE92" w14:textId="203FC4AC" w:rsidTr="00E10233">
        <w:tc>
          <w:tcPr>
            <w:tcW w:w="3126" w:type="dxa"/>
          </w:tcPr>
          <w:p w14:paraId="53E6C7A3" w14:textId="77777777" w:rsidR="00D31FBB" w:rsidRPr="00A92CED" w:rsidRDefault="00D31FBB" w:rsidP="00D15EFA">
            <w:pPr>
              <w:pStyle w:val="ListParagraph"/>
              <w:numPr>
                <w:ilvl w:val="0"/>
                <w:numId w:val="1"/>
              </w:numPr>
              <w:jc w:val="center"/>
              <w:rPr>
                <w:lang w:val="fr-CA"/>
              </w:rPr>
            </w:pPr>
          </w:p>
        </w:tc>
        <w:tc>
          <w:tcPr>
            <w:tcW w:w="3715" w:type="dxa"/>
          </w:tcPr>
          <w:p w14:paraId="57858F5B" w14:textId="0C93E900" w:rsidR="00D31FBB" w:rsidRPr="00A92CED" w:rsidRDefault="00D31FBB" w:rsidP="00D15EFA">
            <w:pPr>
              <w:rPr>
                <w:b/>
                <w:lang w:val="fr-CA"/>
              </w:rPr>
            </w:pPr>
            <w:r w:rsidRPr="00A92CED">
              <w:rPr>
                <w:b/>
                <w:lang w:val="fr-CA"/>
              </w:rPr>
              <w:t>428</w:t>
            </w:r>
            <w:r w:rsidRPr="00A92CED">
              <w:rPr>
                <w:lang w:val="fr-CA"/>
              </w:rPr>
              <w:t xml:space="preserve"> Un utilisateur peut utiliser des pièces pyrotechniques s’il est titulaire d’un certificat de technicien en pyrotechnie (aide-artificier) ou d’un certificat en pyrotechnie (artificier visiteur) et qu’il les utilise sous la supervision directe d’un artificier responsable.</w:t>
            </w:r>
          </w:p>
        </w:tc>
        <w:tc>
          <w:tcPr>
            <w:tcW w:w="4097" w:type="dxa"/>
            <w:gridSpan w:val="2"/>
          </w:tcPr>
          <w:p w14:paraId="4CC180B9" w14:textId="48A34881" w:rsidR="00D31FBB" w:rsidRPr="00A92CED" w:rsidRDefault="00D31FBB" w:rsidP="00D15EFA">
            <w:pPr>
              <w:rPr>
                <w:lang w:val="fr-CA"/>
              </w:rPr>
            </w:pPr>
            <w:r w:rsidRPr="00A92CED">
              <w:rPr>
                <w:lang w:val="fr-CA"/>
              </w:rPr>
              <w:t>Modifier l’article 428 pour préciser que l’utilisateur peut utiliser des pièces pyrotechniques s’il satisfait à l’une ou l’autre des exigences ci-après :</w:t>
            </w:r>
          </w:p>
          <w:p w14:paraId="36740C9A" w14:textId="0B8F7E8F" w:rsidR="00D31FBB" w:rsidRPr="00A92CED" w:rsidRDefault="00D31FBB" w:rsidP="00D15EFA">
            <w:pPr>
              <w:pStyle w:val="ListParagraph"/>
              <w:numPr>
                <w:ilvl w:val="0"/>
                <w:numId w:val="2"/>
              </w:numPr>
              <w:rPr>
                <w:lang w:val="fr-CA"/>
              </w:rPr>
            </w:pPr>
            <w:r w:rsidRPr="00A92CED">
              <w:rPr>
                <w:lang w:val="fr-CA"/>
              </w:rPr>
              <w:t xml:space="preserve">il est un aide-artificier qui a terminé avec succès un cours de sensibilisation à la sécurité et aux aspects légaux soulevés par l’utilisation des pièces pyrotechniques certifié par le ministre et il utilise les pièces pyrotechniques sous la supervision directe d’un artificier; </w:t>
            </w:r>
          </w:p>
          <w:p w14:paraId="39D9796A" w14:textId="62B1ED8E" w:rsidR="00D31FBB" w:rsidRPr="00A92CED" w:rsidRDefault="00D31FBB" w:rsidP="00D15EFA">
            <w:pPr>
              <w:pStyle w:val="ListParagraph"/>
              <w:numPr>
                <w:ilvl w:val="0"/>
                <w:numId w:val="2"/>
              </w:numPr>
              <w:rPr>
                <w:lang w:val="fr-CA"/>
              </w:rPr>
            </w:pPr>
            <w:r w:rsidRPr="00A92CED">
              <w:rPr>
                <w:lang w:val="fr-CA"/>
              </w:rPr>
              <w:t xml:space="preserve">il est titulaire d’un certificat de technicien en pyrotechnie (artificier visiteur) et il utilise les </w:t>
            </w:r>
            <w:r w:rsidRPr="00A92CED">
              <w:rPr>
                <w:lang w:val="fr-CA"/>
              </w:rPr>
              <w:lastRenderedPageBreak/>
              <w:t xml:space="preserve">pièces pyrotechniques sous la supervision directe d’un artificier responsable. </w:t>
            </w:r>
          </w:p>
        </w:tc>
        <w:tc>
          <w:tcPr>
            <w:tcW w:w="3122" w:type="dxa"/>
          </w:tcPr>
          <w:p w14:paraId="6713ABCD" w14:textId="0C71B922" w:rsidR="00D31FBB" w:rsidRPr="00A92CED" w:rsidRDefault="00D31FBB" w:rsidP="00D15EFA">
            <w:pPr>
              <w:rPr>
                <w:rFonts w:cstheme="minorHAnsi"/>
                <w:lang w:val="fr-CA"/>
              </w:rPr>
            </w:pPr>
            <w:r w:rsidRPr="00A92CED">
              <w:rPr>
                <w:lang w:val="fr-CA"/>
              </w:rPr>
              <w:lastRenderedPageBreak/>
              <w:t xml:space="preserve">Cet amendement proposé appuie l’intention de la politique de supprimer l’exigence stipulant qu’un aide-artificier doit obtenir un certificat délivré par RNCan. Cet amendement proposé vise à s’assurer que, pour chaque exigence du Règlement qui se rapporte à un </w:t>
            </w:r>
            <w:r w:rsidRPr="00A92CED">
              <w:rPr>
                <w:rFonts w:cstheme="minorHAnsi"/>
                <w:lang w:val="fr-CA"/>
              </w:rPr>
              <w:t>« aide-artificier </w:t>
            </w:r>
            <w:r w:rsidRPr="00A92CED">
              <w:rPr>
                <w:rFonts w:ascii="Calibri" w:hAnsi="Calibri" w:cs="Calibri"/>
                <w:lang w:val="fr-CA"/>
              </w:rPr>
              <w:t>», l’aide-artificier devra avoir terminé avec succès cette formation et devra utiliser les pièces pyrotechniques sous la supervision directe d’un artificier.</w:t>
            </w:r>
            <w:r w:rsidRPr="00A92CED">
              <w:rPr>
                <w:lang w:val="fr-CA"/>
              </w:rPr>
              <w:t xml:space="preserve"> </w:t>
            </w:r>
          </w:p>
        </w:tc>
        <w:tc>
          <w:tcPr>
            <w:tcW w:w="3087" w:type="dxa"/>
          </w:tcPr>
          <w:p w14:paraId="4968AEDC" w14:textId="77777777" w:rsidR="00D31FBB" w:rsidRPr="00A92CED" w:rsidRDefault="00D31FBB" w:rsidP="00D15EFA">
            <w:pPr>
              <w:rPr>
                <w:lang w:val="fr-CA"/>
              </w:rPr>
            </w:pPr>
          </w:p>
        </w:tc>
      </w:tr>
      <w:tr w:rsidR="00A92CED" w:rsidRPr="00A92CED" w14:paraId="3F74E4B4" w14:textId="5009067D" w:rsidTr="00E10233">
        <w:tc>
          <w:tcPr>
            <w:tcW w:w="3126" w:type="dxa"/>
          </w:tcPr>
          <w:p w14:paraId="29A7D8C1" w14:textId="77777777" w:rsidR="00D31FBB" w:rsidRPr="00A92CED" w:rsidRDefault="00D31FBB" w:rsidP="00D15EFA">
            <w:pPr>
              <w:pStyle w:val="ListParagraph"/>
              <w:numPr>
                <w:ilvl w:val="0"/>
                <w:numId w:val="1"/>
              </w:numPr>
              <w:jc w:val="center"/>
              <w:rPr>
                <w:lang w:val="fr-CA"/>
              </w:rPr>
            </w:pPr>
          </w:p>
        </w:tc>
        <w:tc>
          <w:tcPr>
            <w:tcW w:w="3715" w:type="dxa"/>
          </w:tcPr>
          <w:p w14:paraId="27331BB6" w14:textId="551DA846" w:rsidR="00D31FBB" w:rsidRPr="00A92CED" w:rsidRDefault="00D31FBB" w:rsidP="00D15EFA">
            <w:pPr>
              <w:rPr>
                <w:b/>
                <w:lang w:val="fr-CA"/>
              </w:rPr>
            </w:pPr>
            <w:r w:rsidRPr="00A92CED">
              <w:rPr>
                <w:b/>
                <w:lang w:val="fr-CA"/>
              </w:rPr>
              <w:t xml:space="preserve">434 </w:t>
            </w:r>
            <w:r w:rsidRPr="00A92CED">
              <w:rPr>
                <w:lang w:val="fr-CA"/>
              </w:rPr>
              <w:t>(5) Seules les personnes qui possèdent un certificat de technicien en pyrotechnie (aide-artificier), un certificat de technicien en pyrotechnie (artificier), un certificat de technicien en pyrotechnie (artificier avec mention) ou un certificat de technicien en pyrotechnie (artificier visiteur) et qui sont autorisées par l’artificier responsable peuvent manipuler des pièces pyrotechniques dans la zone de danger ou dans la zone de retombées.</w:t>
            </w:r>
          </w:p>
        </w:tc>
        <w:tc>
          <w:tcPr>
            <w:tcW w:w="4097" w:type="dxa"/>
            <w:gridSpan w:val="2"/>
          </w:tcPr>
          <w:p w14:paraId="6EBAE669" w14:textId="163955C4" w:rsidR="00D31FBB" w:rsidRPr="00A92CED" w:rsidRDefault="00D31FBB" w:rsidP="00D15EFA">
            <w:pPr>
              <w:rPr>
                <w:lang w:val="fr-CA"/>
              </w:rPr>
            </w:pPr>
            <w:r w:rsidRPr="00A92CED">
              <w:rPr>
                <w:lang w:val="fr-CA"/>
              </w:rPr>
              <w:t xml:space="preserve">Modifier le paragraphe 434(5) pour remplacer la mention </w:t>
            </w:r>
            <w:r w:rsidRPr="00A92CED">
              <w:rPr>
                <w:rFonts w:cstheme="minorHAnsi"/>
                <w:lang w:val="fr-CA"/>
              </w:rPr>
              <w:t>« personnes qui possèdent un certificat de technicien en pyrotechnie (aide-artificier) </w:t>
            </w:r>
            <w:r w:rsidRPr="00A92CED">
              <w:rPr>
                <w:rFonts w:ascii="Calibri" w:hAnsi="Calibri" w:cs="Calibri"/>
                <w:lang w:val="fr-CA"/>
              </w:rPr>
              <w:t>» par « personnes qui sont des aides-artificiers ».</w:t>
            </w:r>
            <w:r w:rsidRPr="00A92CED">
              <w:rPr>
                <w:lang w:val="fr-CA"/>
              </w:rPr>
              <w:t xml:space="preserve"> </w:t>
            </w:r>
          </w:p>
        </w:tc>
        <w:tc>
          <w:tcPr>
            <w:tcW w:w="3122" w:type="dxa"/>
          </w:tcPr>
          <w:p w14:paraId="13264D6C" w14:textId="0B0DAD81" w:rsidR="00D31FBB" w:rsidRPr="00A92CED" w:rsidRDefault="00D31FBB" w:rsidP="00D15EFA">
            <w:pPr>
              <w:rPr>
                <w:rFonts w:cstheme="minorHAnsi"/>
                <w:lang w:val="fr-CA"/>
              </w:rPr>
            </w:pPr>
            <w:r w:rsidRPr="00A92CED">
              <w:rPr>
                <w:lang w:val="fr-CA"/>
              </w:rPr>
              <w:t xml:space="preserve">Cet amendement proposé appuie l’intention de la politique de supprimer l’exigence stipulant qu’un aide-artificier doit obtenir un certificat délivré par RNCan tout en maintenant un niveau de sécurité équivalent. </w:t>
            </w:r>
          </w:p>
        </w:tc>
        <w:tc>
          <w:tcPr>
            <w:tcW w:w="3087" w:type="dxa"/>
          </w:tcPr>
          <w:p w14:paraId="054AB7B7" w14:textId="77777777" w:rsidR="00D31FBB" w:rsidRPr="00A92CED" w:rsidRDefault="00D31FBB" w:rsidP="00D15EFA">
            <w:pPr>
              <w:rPr>
                <w:lang w:val="fr-CA"/>
              </w:rPr>
            </w:pPr>
          </w:p>
        </w:tc>
      </w:tr>
      <w:tr w:rsidR="00A92CED" w:rsidRPr="00A92CED" w14:paraId="63381425" w14:textId="1E7693D7" w:rsidTr="00E10233">
        <w:tc>
          <w:tcPr>
            <w:tcW w:w="3126" w:type="dxa"/>
          </w:tcPr>
          <w:p w14:paraId="6BDBE6C6" w14:textId="77777777" w:rsidR="00D31FBB" w:rsidRPr="00A92CED" w:rsidRDefault="00D31FBB" w:rsidP="00D15EFA">
            <w:pPr>
              <w:pStyle w:val="ListParagraph"/>
              <w:numPr>
                <w:ilvl w:val="0"/>
                <w:numId w:val="1"/>
              </w:numPr>
              <w:jc w:val="center"/>
              <w:rPr>
                <w:lang w:val="fr-CA"/>
              </w:rPr>
            </w:pPr>
          </w:p>
        </w:tc>
        <w:tc>
          <w:tcPr>
            <w:tcW w:w="3715" w:type="dxa"/>
          </w:tcPr>
          <w:p w14:paraId="7490FE0D" w14:textId="475A7EC3" w:rsidR="00D31FBB" w:rsidRPr="00A92CED" w:rsidRDefault="00D31FBB" w:rsidP="00D15EFA">
            <w:pPr>
              <w:autoSpaceDE w:val="0"/>
              <w:autoSpaceDN w:val="0"/>
              <w:adjustRightInd w:val="0"/>
              <w:rPr>
                <w:rFonts w:ascii="Calibri" w:hAnsi="Calibri" w:cs="Calibri"/>
                <w:lang w:val="fr-CA"/>
              </w:rPr>
            </w:pPr>
            <w:r w:rsidRPr="00A92CED">
              <w:rPr>
                <w:rFonts w:ascii="Calibri" w:hAnsi="Calibri" w:cs="Calibri"/>
                <w:b/>
                <w:bCs/>
                <w:lang w:val="fr-CA"/>
              </w:rPr>
              <w:t>439</w:t>
            </w:r>
            <w:r w:rsidRPr="00A92CED">
              <w:rPr>
                <w:rFonts w:ascii="Calibri" w:hAnsi="Calibri" w:cs="Calibri"/>
                <w:lang w:val="fr-CA"/>
              </w:rPr>
              <w:t xml:space="preserve"> Si l’artificier responsable organise un spectacle pyrotechnique pour le compte du titulaire d’une licence, ce dernier crée un dossier du spectacle et le conserve pendant deux ans après le spectacle. Le dossier contient les renseignements et le document suivants :</w:t>
            </w:r>
          </w:p>
          <w:p w14:paraId="62F53D02" w14:textId="0CF5367E" w:rsidR="00D31FBB" w:rsidRPr="00A92CED" w:rsidRDefault="00D31FBB" w:rsidP="00D15EFA">
            <w:pPr>
              <w:autoSpaceDE w:val="0"/>
              <w:autoSpaceDN w:val="0"/>
              <w:adjustRightInd w:val="0"/>
              <w:ind w:left="720"/>
              <w:rPr>
                <w:rFonts w:ascii="Calibri" w:hAnsi="Calibri" w:cs="Calibri"/>
                <w:lang w:val="fr-CA"/>
              </w:rPr>
            </w:pPr>
            <w:r w:rsidRPr="00A92CED">
              <w:rPr>
                <w:rFonts w:ascii="Calibri" w:hAnsi="Calibri" w:cs="Calibri"/>
                <w:lang w:val="fr-CA"/>
              </w:rPr>
              <w:t xml:space="preserve">a) les nom, adresse et numéro de licence du titulaire et la date d’expiration de sa licence; </w:t>
            </w:r>
          </w:p>
          <w:p w14:paraId="34F42E35" w14:textId="3E69969E" w:rsidR="00D31FBB" w:rsidRPr="00A92CED" w:rsidRDefault="00D31FBB" w:rsidP="00D15EFA">
            <w:pPr>
              <w:autoSpaceDE w:val="0"/>
              <w:autoSpaceDN w:val="0"/>
              <w:adjustRightInd w:val="0"/>
              <w:ind w:left="720"/>
              <w:rPr>
                <w:rFonts w:ascii="Calibri" w:hAnsi="Calibri" w:cs="Calibri"/>
                <w:lang w:val="fr-CA"/>
              </w:rPr>
            </w:pPr>
            <w:r w:rsidRPr="00A92CED">
              <w:rPr>
                <w:rFonts w:ascii="Calibri" w:hAnsi="Calibri" w:cs="Calibri"/>
                <w:lang w:val="fr-CA"/>
              </w:rPr>
              <w:t xml:space="preserve">b) une copie de l’approbation de l’*autorité locale pour la tenue du spectacle pyrotechnique; </w:t>
            </w:r>
          </w:p>
          <w:p w14:paraId="3ECC2287" w14:textId="38780B3F" w:rsidR="00D31FBB" w:rsidRPr="00A92CED" w:rsidRDefault="00D31FBB" w:rsidP="00D15EFA">
            <w:pPr>
              <w:autoSpaceDE w:val="0"/>
              <w:autoSpaceDN w:val="0"/>
              <w:adjustRightInd w:val="0"/>
              <w:ind w:left="720"/>
              <w:rPr>
                <w:rFonts w:ascii="Calibri" w:hAnsi="Calibri" w:cs="Calibri"/>
                <w:lang w:val="fr-CA"/>
              </w:rPr>
            </w:pPr>
            <w:r w:rsidRPr="00A92CED">
              <w:rPr>
                <w:rFonts w:ascii="Calibri" w:hAnsi="Calibri" w:cs="Calibri"/>
                <w:lang w:val="fr-CA"/>
              </w:rPr>
              <w:t xml:space="preserve">c) le nom de l’artificier responsable, ainsi que le </w:t>
            </w:r>
            <w:r w:rsidRPr="00A92CED">
              <w:rPr>
                <w:rFonts w:ascii="Calibri" w:hAnsi="Calibri" w:cs="Calibri"/>
                <w:lang w:val="fr-CA"/>
              </w:rPr>
              <w:lastRenderedPageBreak/>
              <w:t xml:space="preserve">numéro et la date d’expiration de son certificat de technicien en pyrotechnie; </w:t>
            </w:r>
          </w:p>
          <w:p w14:paraId="22B5A8C7" w14:textId="6DAB6A15" w:rsidR="00D31FBB" w:rsidRPr="00A92CED" w:rsidRDefault="00D31FBB" w:rsidP="00D15EFA">
            <w:pPr>
              <w:autoSpaceDE w:val="0"/>
              <w:autoSpaceDN w:val="0"/>
              <w:adjustRightInd w:val="0"/>
              <w:ind w:left="720"/>
              <w:rPr>
                <w:rFonts w:ascii="Calibri" w:hAnsi="Calibri" w:cs="Calibri"/>
                <w:lang w:val="fr-CA"/>
              </w:rPr>
            </w:pPr>
            <w:r w:rsidRPr="00A92CED">
              <w:rPr>
                <w:rFonts w:ascii="Calibri" w:hAnsi="Calibri" w:cs="Calibri"/>
                <w:lang w:val="fr-CA"/>
              </w:rPr>
              <w:t xml:space="preserve">d) les type, *nom de produit et diamètre des pièces pyrotechniques utilisées, ainsi que le nom du titulaire de l’autorisation des pièces; </w:t>
            </w:r>
          </w:p>
          <w:p w14:paraId="113E47DA" w14:textId="77777777" w:rsidR="00D31FBB" w:rsidRPr="00A92CED" w:rsidRDefault="00D31FBB" w:rsidP="00D15EFA">
            <w:pPr>
              <w:autoSpaceDE w:val="0"/>
              <w:autoSpaceDN w:val="0"/>
              <w:adjustRightInd w:val="0"/>
              <w:ind w:left="720"/>
              <w:rPr>
                <w:rFonts w:ascii="Calibri" w:hAnsi="Calibri" w:cs="Calibri"/>
                <w:lang w:val="fr-CA"/>
              </w:rPr>
            </w:pPr>
            <w:r w:rsidRPr="00A92CED">
              <w:rPr>
                <w:rFonts w:ascii="Calibri" w:hAnsi="Calibri" w:cs="Calibri"/>
                <w:lang w:val="fr-CA"/>
              </w:rPr>
              <w:t xml:space="preserve">e) pour chaque nom de produit, la quantité de pièces pyrotechniques utilisées; </w:t>
            </w:r>
          </w:p>
          <w:p w14:paraId="6E312347" w14:textId="099AC32D" w:rsidR="00D31FBB" w:rsidRPr="00A92CED" w:rsidRDefault="00D31FBB" w:rsidP="00D15EFA">
            <w:pPr>
              <w:autoSpaceDE w:val="0"/>
              <w:autoSpaceDN w:val="0"/>
              <w:adjustRightInd w:val="0"/>
              <w:ind w:left="720"/>
              <w:rPr>
                <w:rFonts w:ascii="Calibri" w:hAnsi="Calibri" w:cs="Calibri"/>
                <w:b/>
                <w:lang w:val="fr-CA"/>
              </w:rPr>
            </w:pPr>
            <w:r w:rsidRPr="00A92CED">
              <w:rPr>
                <w:rFonts w:ascii="Calibri" w:hAnsi="Calibri" w:cs="Calibri"/>
                <w:lang w:val="fr-CA"/>
              </w:rPr>
              <w:t>f) les date et lieu du spectacle pyrotechnique.</w:t>
            </w:r>
          </w:p>
        </w:tc>
        <w:tc>
          <w:tcPr>
            <w:tcW w:w="4097" w:type="dxa"/>
            <w:gridSpan w:val="2"/>
          </w:tcPr>
          <w:p w14:paraId="6E23439D" w14:textId="13BF6F5F" w:rsidR="00D31FBB" w:rsidRPr="00A92CED" w:rsidRDefault="00D31FBB" w:rsidP="00D15EFA">
            <w:pPr>
              <w:rPr>
                <w:lang w:val="fr-CA"/>
              </w:rPr>
            </w:pPr>
            <w:r w:rsidRPr="00A92CED">
              <w:rPr>
                <w:bCs/>
                <w:lang w:val="fr-CA"/>
              </w:rPr>
              <w:lastRenderedPageBreak/>
              <w:t>Modifier la section 1 de la partie 18 pour supprimer l’article 439.</w:t>
            </w:r>
          </w:p>
        </w:tc>
        <w:tc>
          <w:tcPr>
            <w:tcW w:w="3122" w:type="dxa"/>
          </w:tcPr>
          <w:p w14:paraId="59E5E2BB" w14:textId="19549958" w:rsidR="00D31FBB" w:rsidRPr="00A92CED" w:rsidRDefault="00D31FBB" w:rsidP="00D15EFA">
            <w:pPr>
              <w:rPr>
                <w:lang w:val="fr-CA"/>
              </w:rPr>
            </w:pPr>
            <w:r w:rsidRPr="00A92CED">
              <w:rPr>
                <w:lang w:val="fr-CA"/>
              </w:rPr>
              <w:t>Cet amendement proposé appuie l’intention de la politique de rationaliser le Règlement, puisque les renseignements contenus à l’article 439 sont déjà abordés à l’article 438.</w:t>
            </w:r>
          </w:p>
        </w:tc>
        <w:tc>
          <w:tcPr>
            <w:tcW w:w="3087" w:type="dxa"/>
          </w:tcPr>
          <w:p w14:paraId="461266F6" w14:textId="77777777" w:rsidR="00D31FBB" w:rsidRPr="00A92CED" w:rsidRDefault="00D31FBB" w:rsidP="00D15EFA">
            <w:pPr>
              <w:rPr>
                <w:lang w:val="fr-CA"/>
              </w:rPr>
            </w:pPr>
          </w:p>
        </w:tc>
      </w:tr>
      <w:tr w:rsidR="00A92CED" w:rsidRPr="00A92CED" w14:paraId="67E789CE" w14:textId="4B04CCA0" w:rsidTr="00F47EB0">
        <w:tc>
          <w:tcPr>
            <w:tcW w:w="17147" w:type="dxa"/>
            <w:gridSpan w:val="6"/>
            <w:shd w:val="clear" w:color="auto" w:fill="D9D9D9" w:themeFill="background1" w:themeFillShade="D9"/>
          </w:tcPr>
          <w:p w14:paraId="122AE720" w14:textId="4992EADB" w:rsidR="00D31FBB" w:rsidRPr="00A92CED" w:rsidRDefault="00D31FBB" w:rsidP="00D15EFA">
            <w:pPr>
              <w:spacing w:before="60" w:after="60"/>
              <w:jc w:val="center"/>
              <w:rPr>
                <w:rFonts w:ascii="Arial" w:hAnsi="Arial" w:cs="Arial"/>
                <w:b/>
                <w:sz w:val="24"/>
                <w:szCs w:val="24"/>
                <w:lang w:val="fr-CA"/>
              </w:rPr>
            </w:pPr>
            <w:r w:rsidRPr="00A92CED">
              <w:rPr>
                <w:rFonts w:ascii="Arial" w:hAnsi="Arial" w:cs="Arial"/>
                <w:b/>
                <w:sz w:val="24"/>
                <w:szCs w:val="24"/>
                <w:lang w:val="fr-CA"/>
              </w:rPr>
              <w:t>PARTIE 20 – Composants d’explosif limités</w:t>
            </w:r>
          </w:p>
        </w:tc>
      </w:tr>
      <w:tr w:rsidR="00A92CED" w:rsidRPr="00A92CED" w14:paraId="0055312B" w14:textId="12F177AA" w:rsidTr="00E10233">
        <w:tc>
          <w:tcPr>
            <w:tcW w:w="3126" w:type="dxa"/>
          </w:tcPr>
          <w:p w14:paraId="4178F7B2" w14:textId="77777777" w:rsidR="00D31FBB" w:rsidRPr="00A92CED" w:rsidRDefault="00D31FBB" w:rsidP="00D15EFA">
            <w:pPr>
              <w:pStyle w:val="ListParagraph"/>
              <w:numPr>
                <w:ilvl w:val="0"/>
                <w:numId w:val="1"/>
              </w:numPr>
              <w:jc w:val="center"/>
              <w:rPr>
                <w:lang w:val="fr-CA"/>
              </w:rPr>
            </w:pPr>
          </w:p>
        </w:tc>
        <w:tc>
          <w:tcPr>
            <w:tcW w:w="3715" w:type="dxa"/>
          </w:tcPr>
          <w:p w14:paraId="58C337E9" w14:textId="11D52361" w:rsidR="00D31FBB" w:rsidRPr="00A92CED" w:rsidRDefault="00D31FBB" w:rsidP="00D15EFA">
            <w:pPr>
              <w:rPr>
                <w:rFonts w:ascii="Calibri" w:hAnsi="Calibri" w:cs="Calibri"/>
                <w:b/>
                <w:lang w:val="fr-CA"/>
              </w:rPr>
            </w:pPr>
            <w:r w:rsidRPr="00A92CED">
              <w:rPr>
                <w:rStyle w:val="lawlabel"/>
                <w:rFonts w:ascii="Calibri" w:hAnsi="Calibri" w:cs="Calibri"/>
                <w:b/>
                <w:bCs/>
                <w:shd w:val="clear" w:color="auto" w:fill="FFFFFF"/>
                <w:lang w:val="fr-CA"/>
              </w:rPr>
              <w:t>455</w:t>
            </w:r>
            <w:r w:rsidRPr="00A92CED">
              <w:rPr>
                <w:rFonts w:ascii="Calibri" w:hAnsi="Calibri" w:cs="Calibri"/>
                <w:shd w:val="clear" w:color="auto" w:fill="FFFFFF"/>
                <w:lang w:val="fr-CA"/>
              </w:rPr>
              <w:t> Les définitions qui suivent s’appliquent à la présente partie.</w:t>
            </w:r>
          </w:p>
        </w:tc>
        <w:tc>
          <w:tcPr>
            <w:tcW w:w="4097" w:type="dxa"/>
            <w:gridSpan w:val="2"/>
          </w:tcPr>
          <w:p w14:paraId="221B864C" w14:textId="7710660E" w:rsidR="00D31FBB" w:rsidRPr="00A92CED" w:rsidRDefault="00D31FBB" w:rsidP="00D15EFA">
            <w:pPr>
              <w:rPr>
                <w:rFonts w:ascii="Calibri" w:hAnsi="Calibri" w:cs="Calibri"/>
                <w:bCs/>
                <w:lang w:val="fr-CA"/>
              </w:rPr>
            </w:pPr>
            <w:r w:rsidRPr="00A92CED">
              <w:rPr>
                <w:bCs/>
                <w:lang w:val="fr-CA"/>
              </w:rPr>
              <w:t xml:space="preserve">Modifier l’article 455 pour ajouter la définition ci-après pour le terme </w:t>
            </w:r>
            <w:r w:rsidRPr="00A92CED">
              <w:rPr>
                <w:rFonts w:cstheme="minorHAnsi"/>
                <w:bCs/>
                <w:lang w:val="fr-CA"/>
              </w:rPr>
              <w:t>« inscription </w:t>
            </w:r>
            <w:r w:rsidRPr="00A92CED">
              <w:rPr>
                <w:rFonts w:ascii="Calibri" w:hAnsi="Calibri" w:cs="Calibri"/>
                <w:bCs/>
                <w:lang w:val="fr-CA"/>
              </w:rPr>
              <w:t>» :</w:t>
            </w:r>
          </w:p>
          <w:p w14:paraId="14FBC58A" w14:textId="77777777" w:rsidR="00D31FBB" w:rsidRPr="00A92CED" w:rsidRDefault="00D31FBB" w:rsidP="00D15EFA">
            <w:pPr>
              <w:rPr>
                <w:rFonts w:ascii="Calibri" w:hAnsi="Calibri" w:cs="Calibri"/>
                <w:bCs/>
                <w:lang w:val="fr-CA"/>
              </w:rPr>
            </w:pPr>
          </w:p>
          <w:p w14:paraId="5444D417" w14:textId="31AA4715" w:rsidR="00D31FBB" w:rsidRPr="00A92CED" w:rsidRDefault="00D31FBB" w:rsidP="00D15EFA">
            <w:pPr>
              <w:pStyle w:val="ListParagraph"/>
              <w:numPr>
                <w:ilvl w:val="0"/>
                <w:numId w:val="2"/>
              </w:numPr>
              <w:rPr>
                <w:lang w:val="fr-CA"/>
              </w:rPr>
            </w:pPr>
            <w:r w:rsidRPr="00A92CED">
              <w:rPr>
                <w:rStyle w:val="cf01"/>
                <w:rFonts w:ascii="Calibri" w:hAnsi="Calibri" w:cs="Calibri"/>
                <w:b/>
                <w:bCs/>
                <w:i/>
                <w:iCs/>
                <w:sz w:val="22"/>
                <w:szCs w:val="22"/>
                <w:lang w:val="fr-CA"/>
              </w:rPr>
              <w:t>inscription</w:t>
            </w:r>
            <w:r w:rsidRPr="00A92CED">
              <w:rPr>
                <w:rStyle w:val="cf01"/>
                <w:rFonts w:ascii="Calibri" w:hAnsi="Calibri" w:cs="Calibri"/>
                <w:sz w:val="22"/>
                <w:szCs w:val="22"/>
                <w:lang w:val="fr-CA"/>
              </w:rPr>
              <w:t xml:space="preserve"> S’entend de l’inscription d’un vendeur de produits ou d’un vendeur de composants, qui est approuvée par l’inspecteur en chef des explosifs.</w:t>
            </w:r>
          </w:p>
        </w:tc>
        <w:tc>
          <w:tcPr>
            <w:tcW w:w="3122" w:type="dxa"/>
          </w:tcPr>
          <w:p w14:paraId="6F894627" w14:textId="286F60F6" w:rsidR="00D31FBB" w:rsidRPr="00A92CED" w:rsidRDefault="00D31FBB" w:rsidP="00D15EFA">
            <w:pPr>
              <w:rPr>
                <w:lang w:val="fr-CA"/>
              </w:rPr>
            </w:pPr>
            <w:r w:rsidRPr="00A92CED">
              <w:rPr>
                <w:lang w:val="fr-CA"/>
              </w:rPr>
              <w:t xml:space="preserve">L’amendement proposé appuie l’intention de la politique d’actualiser la terminologie utilisée dans le Règlement afin qu’elle reflète les pratiques actuelles. Il n’existe pas de liste de vendeurs de composants ou de vendeurs de produits. RNCan utilise plutôt le terme </w:t>
            </w:r>
            <w:r w:rsidRPr="00A92CED">
              <w:rPr>
                <w:rFonts w:cstheme="minorHAnsi"/>
                <w:lang w:val="fr-CA"/>
              </w:rPr>
              <w:t>« inscription </w:t>
            </w:r>
            <w:r w:rsidRPr="00A92CED">
              <w:rPr>
                <w:rFonts w:ascii="Calibri" w:hAnsi="Calibri" w:cs="Calibri"/>
                <w:lang w:val="fr-CA"/>
              </w:rPr>
              <w:t>».</w:t>
            </w:r>
          </w:p>
        </w:tc>
        <w:tc>
          <w:tcPr>
            <w:tcW w:w="3087" w:type="dxa"/>
          </w:tcPr>
          <w:p w14:paraId="548881B5" w14:textId="77777777" w:rsidR="00D31FBB" w:rsidRPr="00A92CED" w:rsidRDefault="00D31FBB" w:rsidP="00D15EFA">
            <w:pPr>
              <w:rPr>
                <w:lang w:val="fr-CA"/>
              </w:rPr>
            </w:pPr>
          </w:p>
        </w:tc>
      </w:tr>
      <w:tr w:rsidR="00A92CED" w:rsidRPr="00A92CED" w14:paraId="1D26A99E" w14:textId="13E4EB80" w:rsidTr="00E10233">
        <w:tc>
          <w:tcPr>
            <w:tcW w:w="3126" w:type="dxa"/>
          </w:tcPr>
          <w:p w14:paraId="09DC0102" w14:textId="77777777" w:rsidR="00D31FBB" w:rsidRPr="00A92CED" w:rsidRDefault="00D31FBB" w:rsidP="00D15EFA">
            <w:pPr>
              <w:pStyle w:val="ListParagraph"/>
              <w:numPr>
                <w:ilvl w:val="0"/>
                <w:numId w:val="1"/>
              </w:numPr>
              <w:jc w:val="center"/>
              <w:rPr>
                <w:lang w:val="fr-CA"/>
              </w:rPr>
            </w:pPr>
          </w:p>
        </w:tc>
        <w:tc>
          <w:tcPr>
            <w:tcW w:w="3715" w:type="dxa"/>
          </w:tcPr>
          <w:p w14:paraId="34CBC1CE" w14:textId="27B5D2B7" w:rsidR="00D31FBB" w:rsidRPr="00A92CED" w:rsidRDefault="00D31FBB" w:rsidP="00D15EFA">
            <w:pPr>
              <w:pStyle w:val="subsection"/>
              <w:shd w:val="clear" w:color="auto" w:fill="FFFFFF"/>
              <w:spacing w:before="0" w:beforeAutospacing="0" w:after="0" w:afterAutospacing="0"/>
              <w:rPr>
                <w:rFonts w:ascii="Calibri" w:hAnsi="Calibri" w:cs="Calibri"/>
                <w:sz w:val="22"/>
                <w:szCs w:val="22"/>
                <w:lang w:val="fr-CA"/>
              </w:rPr>
            </w:pPr>
            <w:r w:rsidRPr="00A92CED">
              <w:rPr>
                <w:rStyle w:val="lawlabel"/>
                <w:rFonts w:ascii="Calibri" w:hAnsi="Calibri" w:cs="Calibri"/>
                <w:b/>
                <w:bCs/>
                <w:sz w:val="22"/>
                <w:szCs w:val="22"/>
                <w:lang w:val="fr-CA"/>
              </w:rPr>
              <w:t>461</w:t>
            </w:r>
            <w:r w:rsidRPr="00A92CED">
              <w:rPr>
                <w:rFonts w:ascii="Calibri" w:hAnsi="Calibri" w:cs="Calibri"/>
                <w:sz w:val="22"/>
                <w:szCs w:val="22"/>
                <w:lang w:val="fr-CA"/>
              </w:rPr>
              <w:t> </w:t>
            </w:r>
            <w:r w:rsidRPr="00A92CED">
              <w:rPr>
                <w:rStyle w:val="lawlabel"/>
                <w:rFonts w:ascii="Calibri" w:hAnsi="Calibri" w:cs="Calibri"/>
                <w:b/>
                <w:bCs/>
                <w:sz w:val="22"/>
                <w:szCs w:val="22"/>
                <w:lang w:val="fr-CA"/>
              </w:rPr>
              <w:t>(1)</w:t>
            </w:r>
            <w:r w:rsidRPr="00A92CED">
              <w:rPr>
                <w:rFonts w:ascii="Calibri" w:hAnsi="Calibri" w:cs="Calibri"/>
                <w:sz w:val="22"/>
                <w:szCs w:val="22"/>
                <w:lang w:val="fr-CA"/>
              </w:rPr>
              <w:t> Toute personne peut vendre un composant de niveau 1 pour utilisation dans un laboratoire faisant partie de l’une ou l’autre des entités ci-après ou y étant affilié :</w:t>
            </w:r>
          </w:p>
          <w:p w14:paraId="07D6C5CB" w14:textId="0891A67E" w:rsidR="00D31FBB" w:rsidRPr="00A92CED" w:rsidRDefault="00D31FBB" w:rsidP="00D15EFA">
            <w:pPr>
              <w:pStyle w:val="paragraph"/>
              <w:shd w:val="clear" w:color="auto" w:fill="FFFFFF"/>
              <w:spacing w:before="0" w:beforeAutospacing="0" w:after="0" w:afterAutospacing="0"/>
              <w:ind w:left="720"/>
              <w:rPr>
                <w:rFonts w:ascii="Calibri" w:hAnsi="Calibri" w:cs="Calibri"/>
                <w:sz w:val="22"/>
                <w:szCs w:val="22"/>
                <w:lang w:val="fr-CA"/>
              </w:rPr>
            </w:pPr>
            <w:r w:rsidRPr="00A92CED">
              <w:rPr>
                <w:rStyle w:val="lawlabel"/>
                <w:rFonts w:ascii="Calibri" w:hAnsi="Calibri" w:cs="Calibri"/>
                <w:sz w:val="22"/>
                <w:szCs w:val="22"/>
                <w:lang w:val="fr-CA"/>
              </w:rPr>
              <w:t>a)</w:t>
            </w:r>
            <w:r w:rsidRPr="00A92CED">
              <w:rPr>
                <w:rFonts w:ascii="Calibri" w:hAnsi="Calibri" w:cs="Calibri"/>
                <w:sz w:val="22"/>
                <w:szCs w:val="22"/>
                <w:lang w:val="fr-CA"/>
              </w:rPr>
              <w:t xml:space="preserve"> un établissement d’enseignement </w:t>
            </w:r>
            <w:r w:rsidRPr="00A92CED">
              <w:rPr>
                <w:rFonts w:ascii="Calibri" w:hAnsi="Calibri" w:cs="Calibri"/>
                <w:sz w:val="22"/>
                <w:szCs w:val="22"/>
                <w:lang w:val="fr-CA"/>
              </w:rPr>
              <w:lastRenderedPageBreak/>
              <w:t>postsecondaire reconnu par une province;</w:t>
            </w:r>
          </w:p>
          <w:p w14:paraId="556EBAF0" w14:textId="77777777" w:rsidR="00D31FBB" w:rsidRPr="00A92CED" w:rsidRDefault="00D31FBB" w:rsidP="00D15EFA">
            <w:pPr>
              <w:pStyle w:val="paragraph"/>
              <w:shd w:val="clear" w:color="auto" w:fill="FFFFFF"/>
              <w:spacing w:before="0" w:beforeAutospacing="0" w:after="0" w:afterAutospacing="0"/>
              <w:ind w:left="720"/>
              <w:rPr>
                <w:rFonts w:ascii="Calibri" w:hAnsi="Calibri" w:cs="Calibri"/>
                <w:sz w:val="22"/>
                <w:szCs w:val="22"/>
                <w:lang w:val="fr-CA"/>
              </w:rPr>
            </w:pPr>
            <w:r w:rsidRPr="00A92CED">
              <w:rPr>
                <w:rStyle w:val="lawlabel"/>
                <w:rFonts w:ascii="Calibri" w:hAnsi="Calibri" w:cs="Calibri"/>
                <w:sz w:val="22"/>
                <w:szCs w:val="22"/>
                <w:lang w:val="fr-CA"/>
              </w:rPr>
              <w:t>b)</w:t>
            </w:r>
            <w:r w:rsidRPr="00A92CED">
              <w:rPr>
                <w:rFonts w:ascii="Calibri" w:hAnsi="Calibri" w:cs="Calibri"/>
                <w:sz w:val="22"/>
                <w:szCs w:val="22"/>
                <w:lang w:val="fr-CA"/>
              </w:rPr>
              <w:t> un hôpital ou une clinique de santé;</w:t>
            </w:r>
          </w:p>
          <w:p w14:paraId="581F6D76" w14:textId="441DA2D3" w:rsidR="00D31FBB" w:rsidRPr="00A92CED" w:rsidRDefault="00D31FBB" w:rsidP="00D15EFA">
            <w:pPr>
              <w:pStyle w:val="paragraph"/>
              <w:shd w:val="clear" w:color="auto" w:fill="FFFFFF"/>
              <w:spacing w:before="0" w:beforeAutospacing="0" w:after="0" w:afterAutospacing="0"/>
              <w:ind w:left="720"/>
              <w:rPr>
                <w:rFonts w:ascii="Helvetica" w:hAnsi="Helvetica" w:cs="Helvetica"/>
                <w:lang w:val="fr-CA"/>
              </w:rPr>
            </w:pPr>
            <w:r w:rsidRPr="00A92CED">
              <w:rPr>
                <w:rStyle w:val="lawlabel"/>
                <w:rFonts w:ascii="Calibri" w:hAnsi="Calibri" w:cs="Calibri"/>
                <w:sz w:val="22"/>
                <w:szCs w:val="22"/>
                <w:lang w:val="fr-CA"/>
              </w:rPr>
              <w:t>c)</w:t>
            </w:r>
            <w:r w:rsidRPr="00A92CED">
              <w:rPr>
                <w:rFonts w:ascii="Calibri" w:hAnsi="Calibri" w:cs="Calibri"/>
                <w:sz w:val="22"/>
                <w:szCs w:val="22"/>
                <w:lang w:val="fr-CA"/>
              </w:rPr>
              <w:t> un gouvernement ou un organisme d’application de la loi.</w:t>
            </w:r>
          </w:p>
        </w:tc>
        <w:tc>
          <w:tcPr>
            <w:tcW w:w="4097" w:type="dxa"/>
            <w:gridSpan w:val="2"/>
          </w:tcPr>
          <w:p w14:paraId="28AFA87D" w14:textId="29068D5B" w:rsidR="00D31FBB" w:rsidRPr="00A92CED" w:rsidRDefault="00D31FBB" w:rsidP="00D15EFA">
            <w:pPr>
              <w:autoSpaceDE w:val="0"/>
              <w:autoSpaceDN w:val="0"/>
              <w:adjustRightInd w:val="0"/>
              <w:rPr>
                <w:rFonts w:ascii="Calibri" w:hAnsi="Calibri" w:cs="Calibri"/>
                <w:lang w:val="fr-CA"/>
              </w:rPr>
            </w:pPr>
            <w:r w:rsidRPr="00A92CED">
              <w:rPr>
                <w:bCs/>
                <w:lang w:val="fr-CA"/>
              </w:rPr>
              <w:lastRenderedPageBreak/>
              <w:t>Modifier le paragraphe 461(1) pour préciser que le Règlement ne s’applique pas à la vente de composants de niveau 1 pour utilisation dans un laboratoire faisant partie de l’une ou l’autre des entités ci-après ou affilié à celle-ci :</w:t>
            </w:r>
            <w:r w:rsidRPr="00A92CED">
              <w:rPr>
                <w:rFonts w:ascii="Calibri" w:hAnsi="Calibri" w:cs="Calibri"/>
                <w:lang w:val="fr-CA"/>
              </w:rPr>
              <w:t xml:space="preserve"> </w:t>
            </w:r>
          </w:p>
          <w:p w14:paraId="75DF7C47" w14:textId="1F6601E5" w:rsidR="00D31FBB" w:rsidRPr="00A92CED" w:rsidRDefault="00D31FBB" w:rsidP="00D15EFA">
            <w:pPr>
              <w:pStyle w:val="ListParagraph"/>
              <w:numPr>
                <w:ilvl w:val="0"/>
                <w:numId w:val="30"/>
              </w:numPr>
              <w:autoSpaceDE w:val="0"/>
              <w:autoSpaceDN w:val="0"/>
              <w:adjustRightInd w:val="0"/>
              <w:rPr>
                <w:rFonts w:ascii="Calibri" w:hAnsi="Calibri" w:cs="Calibri"/>
                <w:lang w:val="fr-CA"/>
              </w:rPr>
            </w:pPr>
            <w:r w:rsidRPr="00A92CED">
              <w:rPr>
                <w:rFonts w:ascii="Calibri" w:hAnsi="Calibri" w:cs="Calibri"/>
                <w:lang w:val="fr-CA"/>
              </w:rPr>
              <w:lastRenderedPageBreak/>
              <w:t>un établissement d’enseignement postsecondaire reconnu par une province;</w:t>
            </w:r>
          </w:p>
          <w:p w14:paraId="19AFAAD4" w14:textId="5B37E2F3" w:rsidR="00D31FBB" w:rsidRPr="00A92CED" w:rsidRDefault="00D31FBB" w:rsidP="00D15EFA">
            <w:pPr>
              <w:pStyle w:val="ListParagraph"/>
              <w:numPr>
                <w:ilvl w:val="0"/>
                <w:numId w:val="30"/>
              </w:numPr>
              <w:autoSpaceDE w:val="0"/>
              <w:autoSpaceDN w:val="0"/>
              <w:adjustRightInd w:val="0"/>
              <w:rPr>
                <w:rFonts w:ascii="Calibri" w:hAnsi="Calibri" w:cs="Calibri"/>
                <w:lang w:val="fr-CA"/>
              </w:rPr>
            </w:pPr>
            <w:r w:rsidRPr="00A92CED">
              <w:rPr>
                <w:rFonts w:ascii="Calibri" w:hAnsi="Calibri" w:cs="Calibri"/>
                <w:lang w:val="fr-CA"/>
              </w:rPr>
              <w:t>un hôpital ou une clinique de santé;</w:t>
            </w:r>
          </w:p>
          <w:p w14:paraId="48B72980" w14:textId="2E6103DC" w:rsidR="00D31FBB" w:rsidRPr="00A92CED" w:rsidRDefault="00D31FBB" w:rsidP="00D15EFA">
            <w:pPr>
              <w:pStyle w:val="ListParagraph"/>
              <w:numPr>
                <w:ilvl w:val="0"/>
                <w:numId w:val="30"/>
              </w:numPr>
              <w:autoSpaceDE w:val="0"/>
              <w:autoSpaceDN w:val="0"/>
              <w:adjustRightInd w:val="0"/>
              <w:rPr>
                <w:lang w:val="fr-CA"/>
              </w:rPr>
            </w:pPr>
            <w:r w:rsidRPr="00A92CED">
              <w:rPr>
                <w:rFonts w:ascii="Calibri" w:hAnsi="Calibri" w:cs="Calibri"/>
                <w:lang w:val="fr-CA"/>
              </w:rPr>
              <w:t>un gouvernement ou un organisme d’application de la loi.</w:t>
            </w:r>
          </w:p>
        </w:tc>
        <w:tc>
          <w:tcPr>
            <w:tcW w:w="3122" w:type="dxa"/>
          </w:tcPr>
          <w:p w14:paraId="35BFE0FA" w14:textId="01963050" w:rsidR="00D31FBB" w:rsidRPr="00A92CED" w:rsidRDefault="00D31FBB" w:rsidP="00D15EFA">
            <w:pPr>
              <w:rPr>
                <w:lang w:val="fr-CA"/>
              </w:rPr>
            </w:pPr>
            <w:r w:rsidRPr="00A92CED">
              <w:rPr>
                <w:lang w:val="fr-CA"/>
              </w:rPr>
              <w:lastRenderedPageBreak/>
              <w:t xml:space="preserve">L’amendement proposé rétablirait l’exigence antérieure prévue au paragraphe 457(1), qui exemptait certains établissements du Règlement en ce qui concerne la vente de composants d’explosif limités. Pour cet amendement proposé, </w:t>
            </w:r>
            <w:r w:rsidRPr="00A92CED">
              <w:rPr>
                <w:lang w:val="fr-CA"/>
              </w:rPr>
              <w:lastRenderedPageBreak/>
              <w:t>l’intention de la politique est d’éviter que les personnes travaillant pour l’un de ces établissements n’aient à présenter leur pièce d’identité personnelle pour acheter des composants d’explosif limités dans le cadre de leur travail.</w:t>
            </w:r>
          </w:p>
        </w:tc>
        <w:tc>
          <w:tcPr>
            <w:tcW w:w="3087" w:type="dxa"/>
          </w:tcPr>
          <w:p w14:paraId="502B52CF" w14:textId="77777777" w:rsidR="00D31FBB" w:rsidRPr="00A92CED" w:rsidRDefault="00D31FBB" w:rsidP="00D15EFA">
            <w:pPr>
              <w:rPr>
                <w:lang w:val="fr-CA"/>
              </w:rPr>
            </w:pPr>
          </w:p>
        </w:tc>
      </w:tr>
      <w:tr w:rsidR="00A92CED" w:rsidRPr="00A92CED" w14:paraId="53641015" w14:textId="2914A9B7" w:rsidTr="00E10233">
        <w:tc>
          <w:tcPr>
            <w:tcW w:w="3126" w:type="dxa"/>
          </w:tcPr>
          <w:p w14:paraId="320CF44D" w14:textId="77777777" w:rsidR="00D31FBB" w:rsidRPr="00A92CED" w:rsidRDefault="00D31FBB" w:rsidP="00D15EFA">
            <w:pPr>
              <w:pStyle w:val="ListParagraph"/>
              <w:numPr>
                <w:ilvl w:val="0"/>
                <w:numId w:val="1"/>
              </w:numPr>
              <w:jc w:val="center"/>
              <w:rPr>
                <w:lang w:val="fr-CA"/>
              </w:rPr>
            </w:pPr>
          </w:p>
        </w:tc>
        <w:tc>
          <w:tcPr>
            <w:tcW w:w="3715" w:type="dxa"/>
          </w:tcPr>
          <w:p w14:paraId="360500EB" w14:textId="6A8FB628" w:rsidR="00D31FBB" w:rsidRPr="00A92CED" w:rsidRDefault="00D31FBB" w:rsidP="00D15EFA">
            <w:pPr>
              <w:rPr>
                <w:rFonts w:ascii="Calibri" w:hAnsi="Calibri" w:cs="Calibri"/>
                <w:lang w:val="fr-CA"/>
              </w:rPr>
            </w:pPr>
            <w:r w:rsidRPr="00A92CED">
              <w:rPr>
                <w:rStyle w:val="lawlabel"/>
                <w:rFonts w:ascii="Calibri" w:hAnsi="Calibri" w:cs="Calibri"/>
                <w:b/>
                <w:bCs/>
                <w:shd w:val="clear" w:color="auto" w:fill="FFFFFF"/>
                <w:lang w:val="fr-CA"/>
              </w:rPr>
              <w:t>463</w:t>
            </w:r>
            <w:r w:rsidRPr="00A92CED">
              <w:rPr>
                <w:rFonts w:ascii="Calibri" w:hAnsi="Calibri" w:cs="Calibri"/>
                <w:shd w:val="clear" w:color="auto" w:fill="FFFFFF"/>
                <w:lang w:val="fr-CA"/>
              </w:rPr>
              <w:t> Seuls les vendeurs de composant inscrits sur la liste des vendeurs de composant visée au paragraphe 467(1) sont autorisés à vendre un composant de niveau 1.</w:t>
            </w:r>
          </w:p>
        </w:tc>
        <w:tc>
          <w:tcPr>
            <w:tcW w:w="4097" w:type="dxa"/>
            <w:gridSpan w:val="2"/>
          </w:tcPr>
          <w:p w14:paraId="79011421" w14:textId="0FE83369" w:rsidR="00D31FBB" w:rsidRPr="00A92CED" w:rsidRDefault="00D31FBB" w:rsidP="00D15EFA">
            <w:pPr>
              <w:rPr>
                <w:lang w:val="fr-CA"/>
              </w:rPr>
            </w:pPr>
            <w:r w:rsidRPr="00A92CED">
              <w:rPr>
                <w:bCs/>
                <w:lang w:val="fr-CA"/>
              </w:rPr>
              <w:t>Modifier l’article 463 pour préciser que seul un vendeur de composant qui est inscrit en tant que vendeur de composant visé au paragraphe </w:t>
            </w:r>
            <w:r w:rsidRPr="00A92CED">
              <w:rPr>
                <w:rFonts w:cstheme="minorHAnsi"/>
                <w:lang w:val="fr-CA"/>
              </w:rPr>
              <w:t>467(1) est autorisé à vendre un composant de niveau 1.</w:t>
            </w:r>
          </w:p>
        </w:tc>
        <w:tc>
          <w:tcPr>
            <w:tcW w:w="3122" w:type="dxa"/>
          </w:tcPr>
          <w:p w14:paraId="396E313F" w14:textId="4348A532" w:rsidR="00D31FBB" w:rsidRPr="00A92CED" w:rsidRDefault="00D31FBB" w:rsidP="00D15EFA">
            <w:pPr>
              <w:rPr>
                <w:lang w:val="fr-CA"/>
              </w:rPr>
            </w:pPr>
            <w:r w:rsidRPr="00A92CED">
              <w:rPr>
                <w:lang w:val="fr-CA"/>
              </w:rPr>
              <w:t xml:space="preserve">L’amendement proposé appuie l’intention de la politique d’actualiser la terminologie utilisée dans le Règlement afin qu’elle reflète les pratiques actuelles. Il n’existe pas de liste de vendeurs de composants ou de vendeurs de produits. RNCan utilise plutôt le terme </w:t>
            </w:r>
            <w:r w:rsidRPr="00A92CED">
              <w:rPr>
                <w:rFonts w:cstheme="minorHAnsi"/>
                <w:lang w:val="fr-CA"/>
              </w:rPr>
              <w:t>« inscription </w:t>
            </w:r>
            <w:r w:rsidRPr="00A92CED">
              <w:rPr>
                <w:rFonts w:ascii="Calibri" w:hAnsi="Calibri" w:cs="Calibri"/>
                <w:lang w:val="fr-CA"/>
              </w:rPr>
              <w:t>».</w:t>
            </w:r>
          </w:p>
        </w:tc>
        <w:tc>
          <w:tcPr>
            <w:tcW w:w="3087" w:type="dxa"/>
          </w:tcPr>
          <w:p w14:paraId="18BF9525" w14:textId="77777777" w:rsidR="00D31FBB" w:rsidRPr="00A92CED" w:rsidRDefault="00D31FBB" w:rsidP="00D15EFA">
            <w:pPr>
              <w:rPr>
                <w:lang w:val="fr-CA"/>
              </w:rPr>
            </w:pPr>
          </w:p>
        </w:tc>
      </w:tr>
      <w:tr w:rsidR="00A92CED" w:rsidRPr="00A92CED" w14:paraId="722BC57D" w14:textId="08C960BF" w:rsidTr="00E10233">
        <w:tc>
          <w:tcPr>
            <w:tcW w:w="3126" w:type="dxa"/>
          </w:tcPr>
          <w:p w14:paraId="3B72C234" w14:textId="77777777" w:rsidR="00D31FBB" w:rsidRPr="00A92CED" w:rsidRDefault="00D31FBB" w:rsidP="00D15EFA">
            <w:pPr>
              <w:pStyle w:val="ListParagraph"/>
              <w:numPr>
                <w:ilvl w:val="0"/>
                <w:numId w:val="1"/>
              </w:numPr>
              <w:jc w:val="center"/>
              <w:rPr>
                <w:lang w:val="fr-CA"/>
              </w:rPr>
            </w:pPr>
          </w:p>
        </w:tc>
        <w:tc>
          <w:tcPr>
            <w:tcW w:w="3715" w:type="dxa"/>
          </w:tcPr>
          <w:p w14:paraId="14E52DAB" w14:textId="31C1AA1D" w:rsidR="00D31FBB" w:rsidRPr="00A92CED" w:rsidRDefault="00D31FBB" w:rsidP="00D15EFA">
            <w:pPr>
              <w:pStyle w:val="subsection"/>
              <w:shd w:val="clear" w:color="auto" w:fill="FFFFFF"/>
              <w:spacing w:before="0" w:beforeAutospacing="0" w:after="0" w:afterAutospacing="0"/>
              <w:rPr>
                <w:rFonts w:ascii="Calibri" w:hAnsi="Calibri" w:cs="Calibri"/>
                <w:sz w:val="22"/>
                <w:szCs w:val="22"/>
                <w:lang w:val="fr-CA"/>
              </w:rPr>
            </w:pPr>
            <w:r w:rsidRPr="00A92CED">
              <w:rPr>
                <w:rStyle w:val="lawlabel"/>
                <w:rFonts w:ascii="Calibri" w:hAnsi="Calibri" w:cs="Calibri"/>
                <w:b/>
                <w:bCs/>
                <w:sz w:val="22"/>
                <w:szCs w:val="22"/>
                <w:lang w:val="fr-CA"/>
              </w:rPr>
              <w:t>466</w:t>
            </w:r>
            <w:r w:rsidRPr="00A92CED">
              <w:rPr>
                <w:rFonts w:ascii="Calibri" w:hAnsi="Calibri" w:cs="Calibri"/>
                <w:sz w:val="22"/>
                <w:szCs w:val="22"/>
                <w:lang w:val="fr-CA"/>
              </w:rPr>
              <w:t> </w:t>
            </w:r>
            <w:r w:rsidRPr="00A92CED">
              <w:rPr>
                <w:rStyle w:val="lawlabel"/>
                <w:rFonts w:ascii="Calibri" w:hAnsi="Calibri" w:cs="Calibri"/>
                <w:sz w:val="22"/>
                <w:szCs w:val="22"/>
                <w:lang w:val="fr-CA"/>
              </w:rPr>
              <w:t>(1)</w:t>
            </w:r>
            <w:r w:rsidRPr="00A92CED">
              <w:rPr>
                <w:rFonts w:ascii="Calibri" w:hAnsi="Calibri" w:cs="Calibri"/>
                <w:sz w:val="22"/>
                <w:szCs w:val="22"/>
                <w:lang w:val="fr-CA"/>
              </w:rPr>
              <w:t> Le vendeur de produit remplit, signe et fait parvenir à l’inspecteur en chef des explosifs le formulaire de demande d’inscription fourni par le ministère des Ressources naturelles. La demande contient les renseignements suivants :</w:t>
            </w:r>
          </w:p>
          <w:p w14:paraId="3C910A20" w14:textId="2D56CC59" w:rsidR="00D31FBB" w:rsidRPr="00A92CED" w:rsidRDefault="00D31FBB" w:rsidP="00D15EFA">
            <w:pPr>
              <w:pStyle w:val="paragraph"/>
              <w:shd w:val="clear" w:color="auto" w:fill="FFFFFF"/>
              <w:spacing w:before="0" w:beforeAutospacing="0" w:after="0" w:afterAutospacing="0"/>
              <w:ind w:left="720"/>
              <w:rPr>
                <w:rFonts w:ascii="Calibri" w:hAnsi="Calibri" w:cs="Calibri"/>
                <w:sz w:val="22"/>
                <w:szCs w:val="22"/>
                <w:lang w:val="fr-CA"/>
              </w:rPr>
            </w:pPr>
            <w:r w:rsidRPr="00A92CED">
              <w:rPr>
                <w:rStyle w:val="lawlabel"/>
                <w:rFonts w:ascii="Calibri" w:hAnsi="Calibri" w:cs="Calibri"/>
                <w:sz w:val="22"/>
                <w:szCs w:val="22"/>
                <w:lang w:val="fr-CA"/>
              </w:rPr>
              <w:t>b)</w:t>
            </w:r>
            <w:r w:rsidRPr="00A92CED">
              <w:rPr>
                <w:rFonts w:ascii="Calibri" w:hAnsi="Calibri" w:cs="Calibri"/>
                <w:sz w:val="22"/>
                <w:szCs w:val="22"/>
                <w:lang w:val="fr-CA"/>
              </w:rPr>
              <w:t> le nom des produits qui seront fabriqués en utilisant un composant de niveau 1 et qui seront vendus;</w:t>
            </w:r>
          </w:p>
        </w:tc>
        <w:tc>
          <w:tcPr>
            <w:tcW w:w="4097" w:type="dxa"/>
            <w:gridSpan w:val="2"/>
          </w:tcPr>
          <w:p w14:paraId="233E412C" w14:textId="5E514450" w:rsidR="00D31FBB" w:rsidRPr="00A92CED" w:rsidRDefault="00D31FBB" w:rsidP="00D15EFA">
            <w:pPr>
              <w:rPr>
                <w:lang w:val="fr-CA"/>
              </w:rPr>
            </w:pPr>
            <w:r w:rsidRPr="00A92CED">
              <w:rPr>
                <w:bCs/>
                <w:lang w:val="fr-CA"/>
              </w:rPr>
              <w:t>Modifier le paragraphe 466(1) pour supprimer l’alinéa b).</w:t>
            </w:r>
          </w:p>
        </w:tc>
        <w:tc>
          <w:tcPr>
            <w:tcW w:w="3122" w:type="dxa"/>
          </w:tcPr>
          <w:p w14:paraId="2656FCC4" w14:textId="7987F969" w:rsidR="00D31FBB" w:rsidRPr="00A92CED" w:rsidRDefault="00D31FBB" w:rsidP="00D15EFA">
            <w:pPr>
              <w:rPr>
                <w:lang w:val="fr-CA"/>
              </w:rPr>
            </w:pPr>
            <w:r w:rsidRPr="00A92CED">
              <w:rPr>
                <w:lang w:val="fr-CA"/>
              </w:rPr>
              <w:t>Cet amendement proposé appuie l’intention de la politique de réduire les dispositions du Règlement qui alourdissent inutilement le fardeau administratif. Il n’est pas utile pour RNCan de connaître le nom des produits qui seront fabriqués en utilisant des composants de niveau 1, car les produits eux-mêmes ne sont pas des composants de niveau 1.</w:t>
            </w:r>
          </w:p>
        </w:tc>
        <w:tc>
          <w:tcPr>
            <w:tcW w:w="3087" w:type="dxa"/>
          </w:tcPr>
          <w:p w14:paraId="30912A9F" w14:textId="77777777" w:rsidR="00D31FBB" w:rsidRPr="00A92CED" w:rsidRDefault="00D31FBB" w:rsidP="00D15EFA">
            <w:pPr>
              <w:rPr>
                <w:lang w:val="fr-CA"/>
              </w:rPr>
            </w:pPr>
          </w:p>
        </w:tc>
      </w:tr>
      <w:tr w:rsidR="00A92CED" w:rsidRPr="00A92CED" w14:paraId="4408A4A9" w14:textId="4C1CE82F" w:rsidTr="00E10233">
        <w:tc>
          <w:tcPr>
            <w:tcW w:w="3126" w:type="dxa"/>
          </w:tcPr>
          <w:p w14:paraId="1005AD06" w14:textId="77777777" w:rsidR="00D31FBB" w:rsidRPr="00A92CED" w:rsidRDefault="00D31FBB" w:rsidP="00D15EFA">
            <w:pPr>
              <w:pStyle w:val="ListParagraph"/>
              <w:numPr>
                <w:ilvl w:val="0"/>
                <w:numId w:val="1"/>
              </w:numPr>
              <w:jc w:val="center"/>
              <w:rPr>
                <w:lang w:val="fr-CA"/>
              </w:rPr>
            </w:pPr>
          </w:p>
        </w:tc>
        <w:tc>
          <w:tcPr>
            <w:tcW w:w="3715" w:type="dxa"/>
          </w:tcPr>
          <w:p w14:paraId="44CB7CEC" w14:textId="4C5363FF" w:rsidR="00D31FBB" w:rsidRPr="00A92CED" w:rsidRDefault="00D31FBB" w:rsidP="00D15EFA">
            <w:pPr>
              <w:pStyle w:val="subsection"/>
              <w:shd w:val="clear" w:color="auto" w:fill="FFFFFF"/>
              <w:spacing w:before="0" w:beforeAutospacing="0" w:after="0" w:afterAutospacing="0"/>
              <w:rPr>
                <w:rFonts w:ascii="Calibri" w:hAnsi="Calibri" w:cs="Calibri"/>
                <w:sz w:val="22"/>
                <w:szCs w:val="22"/>
                <w:lang w:val="fr-CA"/>
              </w:rPr>
            </w:pPr>
            <w:r w:rsidRPr="00A92CED">
              <w:rPr>
                <w:rStyle w:val="lawlabel"/>
                <w:rFonts w:ascii="Calibri" w:hAnsi="Calibri" w:cs="Calibri"/>
                <w:b/>
                <w:bCs/>
                <w:sz w:val="22"/>
                <w:szCs w:val="22"/>
                <w:lang w:val="fr-CA"/>
              </w:rPr>
              <w:t>467</w:t>
            </w:r>
            <w:r w:rsidRPr="00A92CED">
              <w:rPr>
                <w:rFonts w:ascii="Calibri" w:hAnsi="Calibri" w:cs="Calibri"/>
                <w:sz w:val="22"/>
                <w:szCs w:val="22"/>
                <w:lang w:val="fr-CA"/>
              </w:rPr>
              <w:t> </w:t>
            </w:r>
            <w:r w:rsidRPr="00A92CED">
              <w:rPr>
                <w:rStyle w:val="lawlabel"/>
                <w:rFonts w:ascii="Calibri" w:hAnsi="Calibri" w:cs="Calibri"/>
                <w:sz w:val="22"/>
                <w:szCs w:val="22"/>
                <w:lang w:val="fr-CA"/>
              </w:rPr>
              <w:t>(1)</w:t>
            </w:r>
            <w:r w:rsidRPr="00A92CED">
              <w:rPr>
                <w:rFonts w:ascii="Calibri" w:hAnsi="Calibri" w:cs="Calibri"/>
                <w:sz w:val="22"/>
                <w:szCs w:val="22"/>
                <w:lang w:val="fr-CA"/>
              </w:rPr>
              <w:t xml:space="preserve"> Si le vendeur de composant fournit les renseignements prévus à </w:t>
            </w:r>
            <w:r w:rsidRPr="00A92CED">
              <w:rPr>
                <w:rFonts w:ascii="Calibri" w:hAnsi="Calibri" w:cs="Calibri"/>
                <w:sz w:val="22"/>
                <w:szCs w:val="22"/>
                <w:lang w:val="fr-CA"/>
              </w:rPr>
              <w:lastRenderedPageBreak/>
              <w:t>l’article 464, l’inspecteur en chef des explosifs l’inscrit sur la liste des vendeurs de composant, lui assigne un numéro et lui délivre une attestation indiquant le numéro et la date de prise d’effet de l’inscription.</w:t>
            </w:r>
          </w:p>
        </w:tc>
        <w:tc>
          <w:tcPr>
            <w:tcW w:w="4097" w:type="dxa"/>
            <w:gridSpan w:val="2"/>
          </w:tcPr>
          <w:p w14:paraId="4D8436FC" w14:textId="019ED496" w:rsidR="00D31FBB" w:rsidRPr="00A92CED" w:rsidRDefault="00D31FBB" w:rsidP="00D15EFA">
            <w:pPr>
              <w:rPr>
                <w:lang w:val="fr-CA"/>
              </w:rPr>
            </w:pPr>
            <w:r w:rsidRPr="00A92CED">
              <w:rPr>
                <w:bCs/>
                <w:lang w:val="fr-CA"/>
              </w:rPr>
              <w:lastRenderedPageBreak/>
              <w:t xml:space="preserve">Modifier le paragraphe 467(1) pour préciser que si le vendeur de composant </w:t>
            </w:r>
            <w:r w:rsidRPr="00A92CED">
              <w:rPr>
                <w:bCs/>
                <w:lang w:val="fr-CA"/>
              </w:rPr>
              <w:lastRenderedPageBreak/>
              <w:t>fournit les renseignements prévus à l’article 464, l’inspecteur en chef des explosifs lui assigne un numéro d’inscription et lui délivre une attestation indiquant le numéro et la date de prise d’effet de l’inscription.</w:t>
            </w:r>
          </w:p>
        </w:tc>
        <w:tc>
          <w:tcPr>
            <w:tcW w:w="3122" w:type="dxa"/>
          </w:tcPr>
          <w:p w14:paraId="643E45CD" w14:textId="38A11F44" w:rsidR="00D31FBB" w:rsidRPr="00A92CED" w:rsidRDefault="00D31FBB" w:rsidP="00D15EFA">
            <w:pPr>
              <w:rPr>
                <w:lang w:val="fr-CA"/>
              </w:rPr>
            </w:pPr>
            <w:r w:rsidRPr="00A92CED">
              <w:rPr>
                <w:lang w:val="fr-CA"/>
              </w:rPr>
              <w:lastRenderedPageBreak/>
              <w:t xml:space="preserve">L’amendement proposé appuie l’intention de la politique </w:t>
            </w:r>
            <w:r w:rsidRPr="00A92CED">
              <w:rPr>
                <w:lang w:val="fr-CA"/>
              </w:rPr>
              <w:lastRenderedPageBreak/>
              <w:t xml:space="preserve">d’actualiser la terminologie utilisée dans le Règlement afin qu’elle reflète les pratiques actuelles. Il n’existe pas de liste de vendeurs de composants. RNCan utilise plutôt le terme </w:t>
            </w:r>
            <w:r w:rsidRPr="00A92CED">
              <w:rPr>
                <w:rFonts w:cstheme="minorHAnsi"/>
                <w:lang w:val="fr-CA"/>
              </w:rPr>
              <w:t>« inscription </w:t>
            </w:r>
            <w:r w:rsidRPr="00A92CED">
              <w:rPr>
                <w:rFonts w:ascii="Calibri" w:hAnsi="Calibri" w:cs="Calibri"/>
                <w:lang w:val="fr-CA"/>
              </w:rPr>
              <w:t>».</w:t>
            </w:r>
          </w:p>
        </w:tc>
        <w:tc>
          <w:tcPr>
            <w:tcW w:w="3087" w:type="dxa"/>
          </w:tcPr>
          <w:p w14:paraId="0C04256D" w14:textId="77777777" w:rsidR="00D31FBB" w:rsidRPr="00A92CED" w:rsidRDefault="00D31FBB" w:rsidP="00D15EFA">
            <w:pPr>
              <w:rPr>
                <w:lang w:val="fr-CA"/>
              </w:rPr>
            </w:pPr>
          </w:p>
        </w:tc>
      </w:tr>
      <w:tr w:rsidR="00A92CED" w:rsidRPr="00A92CED" w14:paraId="18DA9A63" w14:textId="161C6B9D" w:rsidTr="00E10233">
        <w:tc>
          <w:tcPr>
            <w:tcW w:w="3126" w:type="dxa"/>
          </w:tcPr>
          <w:p w14:paraId="1AA1C369" w14:textId="77777777" w:rsidR="00D31FBB" w:rsidRPr="00A92CED" w:rsidRDefault="00D31FBB" w:rsidP="00D15EFA">
            <w:pPr>
              <w:pStyle w:val="ListParagraph"/>
              <w:numPr>
                <w:ilvl w:val="0"/>
                <w:numId w:val="1"/>
              </w:numPr>
              <w:jc w:val="center"/>
              <w:rPr>
                <w:lang w:val="fr-CA"/>
              </w:rPr>
            </w:pPr>
          </w:p>
        </w:tc>
        <w:tc>
          <w:tcPr>
            <w:tcW w:w="3715" w:type="dxa"/>
          </w:tcPr>
          <w:p w14:paraId="4AD248B8" w14:textId="13CF900E" w:rsidR="00D31FBB" w:rsidRPr="00A92CED" w:rsidRDefault="00D31FBB" w:rsidP="00D15EFA">
            <w:pPr>
              <w:rPr>
                <w:rFonts w:ascii="Calibri" w:hAnsi="Calibri" w:cs="Calibri"/>
                <w:lang w:val="fr-CA"/>
              </w:rPr>
            </w:pPr>
            <w:r w:rsidRPr="00A92CED">
              <w:rPr>
                <w:rStyle w:val="lawlabel"/>
                <w:rFonts w:ascii="Calibri" w:hAnsi="Calibri" w:cs="Calibri"/>
                <w:b/>
                <w:bCs/>
                <w:shd w:val="clear" w:color="auto" w:fill="FFFFFF"/>
                <w:lang w:val="fr-CA"/>
              </w:rPr>
              <w:t>467</w:t>
            </w:r>
            <w:r w:rsidRPr="00A92CED">
              <w:rPr>
                <w:rStyle w:val="lawlabel"/>
                <w:rFonts w:ascii="Calibri" w:hAnsi="Calibri" w:cs="Calibri"/>
                <w:shd w:val="clear" w:color="auto" w:fill="FFFFFF"/>
                <w:lang w:val="fr-CA"/>
              </w:rPr>
              <w:t xml:space="preserve"> (2)</w:t>
            </w:r>
            <w:r w:rsidRPr="00A92CED">
              <w:rPr>
                <w:rFonts w:ascii="Calibri" w:hAnsi="Calibri" w:cs="Calibri"/>
                <w:shd w:val="clear" w:color="auto" w:fill="FFFFFF"/>
                <w:lang w:val="fr-CA"/>
              </w:rPr>
              <w:t> L’inscription demeure valide pour une durée de cinq ans suivant la date indiquée dans l’attestation.</w:t>
            </w:r>
          </w:p>
        </w:tc>
        <w:tc>
          <w:tcPr>
            <w:tcW w:w="4097" w:type="dxa"/>
            <w:gridSpan w:val="2"/>
          </w:tcPr>
          <w:p w14:paraId="003C8FD1" w14:textId="672532DB" w:rsidR="00D31FBB" w:rsidRPr="00A92CED" w:rsidRDefault="00D31FBB" w:rsidP="00D15EFA">
            <w:pPr>
              <w:rPr>
                <w:lang w:val="fr-CA"/>
              </w:rPr>
            </w:pPr>
            <w:r w:rsidRPr="00A92CED">
              <w:rPr>
                <w:bCs/>
                <w:lang w:val="fr-CA"/>
              </w:rPr>
              <w:t xml:space="preserve">Modifier la version anglaise du paragraphe 467(2) pour remplacer le terme </w:t>
            </w:r>
            <w:r w:rsidRPr="00A92CED">
              <w:rPr>
                <w:rFonts w:cstheme="minorHAnsi"/>
                <w:bCs/>
                <w:lang w:val="fr-CA"/>
              </w:rPr>
              <w:t>« </w:t>
            </w:r>
            <w:r w:rsidRPr="00A92CED">
              <w:rPr>
                <w:bCs/>
                <w:lang w:val="fr-CA"/>
              </w:rPr>
              <w:t>listing </w:t>
            </w:r>
            <w:r w:rsidRPr="00A92CED">
              <w:rPr>
                <w:rFonts w:cstheme="minorHAnsi"/>
                <w:bCs/>
                <w:lang w:val="fr-CA"/>
              </w:rPr>
              <w:t>»</w:t>
            </w:r>
            <w:r w:rsidRPr="00A92CED">
              <w:rPr>
                <w:bCs/>
                <w:lang w:val="fr-CA"/>
              </w:rPr>
              <w:t xml:space="preserve"> par </w:t>
            </w:r>
            <w:r w:rsidRPr="00A92CED">
              <w:rPr>
                <w:rFonts w:cstheme="minorHAnsi"/>
                <w:bCs/>
                <w:lang w:val="fr-CA"/>
              </w:rPr>
              <w:t>«</w:t>
            </w:r>
            <w:r w:rsidRPr="00A92CED">
              <w:rPr>
                <w:bCs/>
                <w:lang w:val="fr-CA"/>
              </w:rPr>
              <w:t> </w:t>
            </w:r>
            <w:r w:rsidRPr="00A92CED">
              <w:rPr>
                <w:lang w:val="fr-CA"/>
              </w:rPr>
              <w:t>enrolment </w:t>
            </w:r>
            <w:r w:rsidRPr="00A92CED">
              <w:rPr>
                <w:rFonts w:cstheme="minorHAnsi"/>
                <w:lang w:val="fr-CA"/>
              </w:rPr>
              <w:t>».</w:t>
            </w:r>
          </w:p>
        </w:tc>
        <w:tc>
          <w:tcPr>
            <w:tcW w:w="3122" w:type="dxa"/>
          </w:tcPr>
          <w:p w14:paraId="2E65F7A7" w14:textId="326B1888" w:rsidR="00D31FBB" w:rsidRPr="00A92CED" w:rsidRDefault="00D31FBB" w:rsidP="00D15EFA">
            <w:pPr>
              <w:rPr>
                <w:lang w:val="fr-CA"/>
              </w:rPr>
            </w:pPr>
            <w:r w:rsidRPr="00A92CED">
              <w:rPr>
                <w:lang w:val="fr-CA"/>
              </w:rPr>
              <w:t xml:space="preserve">L’amendement proposé appuie l’intention de la politique d’actualiser la terminologie utilisée dans le Règlement afin qu’elle reflète les pratiques actuelles. Il n’existe pas de liste de vendeurs de composants. RNCan utilise plutôt le terme </w:t>
            </w:r>
            <w:r w:rsidRPr="00A92CED">
              <w:rPr>
                <w:rFonts w:cstheme="minorHAnsi"/>
                <w:lang w:val="fr-CA"/>
              </w:rPr>
              <w:t>« inscription </w:t>
            </w:r>
            <w:r w:rsidRPr="00A92CED">
              <w:rPr>
                <w:rFonts w:ascii="Calibri" w:hAnsi="Calibri" w:cs="Calibri"/>
                <w:lang w:val="fr-CA"/>
              </w:rPr>
              <w:t>».</w:t>
            </w:r>
          </w:p>
        </w:tc>
        <w:tc>
          <w:tcPr>
            <w:tcW w:w="3087" w:type="dxa"/>
          </w:tcPr>
          <w:p w14:paraId="5B593588" w14:textId="77777777" w:rsidR="00D31FBB" w:rsidRPr="00A92CED" w:rsidRDefault="00D31FBB" w:rsidP="00D15EFA">
            <w:pPr>
              <w:rPr>
                <w:lang w:val="fr-CA"/>
              </w:rPr>
            </w:pPr>
          </w:p>
        </w:tc>
      </w:tr>
      <w:tr w:rsidR="00A92CED" w:rsidRPr="00A92CED" w14:paraId="58F0FF9B" w14:textId="086797E6" w:rsidTr="00E10233">
        <w:tc>
          <w:tcPr>
            <w:tcW w:w="3126" w:type="dxa"/>
          </w:tcPr>
          <w:p w14:paraId="15618C3A" w14:textId="77777777" w:rsidR="00D31FBB" w:rsidRPr="00A92CED" w:rsidRDefault="00D31FBB" w:rsidP="00D15EFA">
            <w:pPr>
              <w:pStyle w:val="ListParagraph"/>
              <w:numPr>
                <w:ilvl w:val="0"/>
                <w:numId w:val="1"/>
              </w:numPr>
              <w:jc w:val="center"/>
              <w:rPr>
                <w:lang w:val="fr-CA"/>
              </w:rPr>
            </w:pPr>
          </w:p>
        </w:tc>
        <w:tc>
          <w:tcPr>
            <w:tcW w:w="3715" w:type="dxa"/>
          </w:tcPr>
          <w:p w14:paraId="5A4D52C1" w14:textId="3C6D0EB6" w:rsidR="00D31FBB" w:rsidRPr="00A92CED" w:rsidRDefault="00D31FBB" w:rsidP="00D15EFA">
            <w:pPr>
              <w:rPr>
                <w:rFonts w:ascii="Calibri" w:hAnsi="Calibri" w:cs="Calibri"/>
                <w:lang w:val="fr-CA"/>
              </w:rPr>
            </w:pPr>
            <w:r w:rsidRPr="00A92CED">
              <w:rPr>
                <w:rFonts w:ascii="Calibri" w:hAnsi="Calibri" w:cs="Calibri"/>
                <w:b/>
                <w:bCs/>
                <w:lang w:val="fr-CA"/>
              </w:rPr>
              <w:t xml:space="preserve">468 </w:t>
            </w:r>
            <w:r w:rsidRPr="00A92CED">
              <w:rPr>
                <w:rFonts w:ascii="Calibri" w:hAnsi="Calibri" w:cs="Calibri"/>
                <w:lang w:val="fr-CA"/>
              </w:rPr>
              <w:t xml:space="preserve">(1) </w:t>
            </w:r>
            <w:r w:rsidRPr="00A92CED">
              <w:rPr>
                <w:rFonts w:ascii="Calibri" w:hAnsi="Calibri" w:cs="Calibri"/>
                <w:shd w:val="clear" w:color="auto" w:fill="FFFFFF"/>
                <w:lang w:val="fr-CA"/>
              </w:rPr>
              <w:t>Si le vendeur de produit fournit les renseignements prévus à l’article 466, l’inspecteur en chef des explosifs l’inscrit sur la liste des vendeurs de produit, lui assigne un numéro et lui délivre une attestation indiquant le numéro et la date de prise d’effet de l’inscription.</w:t>
            </w:r>
          </w:p>
        </w:tc>
        <w:tc>
          <w:tcPr>
            <w:tcW w:w="4097" w:type="dxa"/>
            <w:gridSpan w:val="2"/>
          </w:tcPr>
          <w:p w14:paraId="636C8D1A" w14:textId="716CDB77" w:rsidR="00D31FBB" w:rsidRPr="00A92CED" w:rsidRDefault="00D31FBB" w:rsidP="00D15EFA">
            <w:pPr>
              <w:rPr>
                <w:lang w:val="fr-CA"/>
              </w:rPr>
            </w:pPr>
            <w:r w:rsidRPr="00A92CED">
              <w:rPr>
                <w:bCs/>
                <w:lang w:val="fr-CA"/>
              </w:rPr>
              <w:t>Modifier le paragraphe 468(1) pour préciser que si le vendeur de produit fournit les renseignements prévus à l’article 466, l’inspecteur en chef des explosifs lui assigne un numéro d’inscription et lui délivre une attestation indiquant le numéro et la date de prise d’effet de l’inscription.</w:t>
            </w:r>
          </w:p>
        </w:tc>
        <w:tc>
          <w:tcPr>
            <w:tcW w:w="3122" w:type="dxa"/>
          </w:tcPr>
          <w:p w14:paraId="566E1A3A" w14:textId="4428F24A" w:rsidR="00D31FBB" w:rsidRPr="00A92CED" w:rsidRDefault="00D31FBB" w:rsidP="00D15EFA">
            <w:pPr>
              <w:rPr>
                <w:lang w:val="fr-CA"/>
              </w:rPr>
            </w:pPr>
            <w:r w:rsidRPr="00A92CED">
              <w:rPr>
                <w:lang w:val="fr-CA"/>
              </w:rPr>
              <w:t xml:space="preserve">L’amendement proposé appuie l’intention de la politique d’actualiser la terminologie utilisée dans le Règlement afin qu’elle reflète les pratiques actuelles. Il n’existe pas de liste de vendeurs de produits. RNCan utilise plutôt le terme </w:t>
            </w:r>
            <w:r w:rsidRPr="00A92CED">
              <w:rPr>
                <w:rFonts w:cstheme="minorHAnsi"/>
                <w:lang w:val="fr-CA"/>
              </w:rPr>
              <w:t>« inscription </w:t>
            </w:r>
            <w:r w:rsidRPr="00A92CED">
              <w:rPr>
                <w:rFonts w:ascii="Calibri" w:hAnsi="Calibri" w:cs="Calibri"/>
                <w:lang w:val="fr-CA"/>
              </w:rPr>
              <w:t>».</w:t>
            </w:r>
          </w:p>
        </w:tc>
        <w:tc>
          <w:tcPr>
            <w:tcW w:w="3087" w:type="dxa"/>
          </w:tcPr>
          <w:p w14:paraId="093AFED7" w14:textId="77777777" w:rsidR="00D31FBB" w:rsidRPr="00A92CED" w:rsidRDefault="00D31FBB" w:rsidP="00D15EFA">
            <w:pPr>
              <w:rPr>
                <w:lang w:val="fr-CA"/>
              </w:rPr>
            </w:pPr>
          </w:p>
        </w:tc>
      </w:tr>
      <w:tr w:rsidR="00A92CED" w:rsidRPr="00A92CED" w14:paraId="6BF09D57" w14:textId="374F3EFF" w:rsidTr="00E10233">
        <w:tc>
          <w:tcPr>
            <w:tcW w:w="3126" w:type="dxa"/>
          </w:tcPr>
          <w:p w14:paraId="308AC3A9" w14:textId="77777777" w:rsidR="00D31FBB" w:rsidRPr="00A92CED" w:rsidRDefault="00D31FBB" w:rsidP="00D15EFA">
            <w:pPr>
              <w:pStyle w:val="ListParagraph"/>
              <w:numPr>
                <w:ilvl w:val="0"/>
                <w:numId w:val="1"/>
              </w:numPr>
              <w:jc w:val="center"/>
              <w:rPr>
                <w:lang w:val="fr-CA"/>
              </w:rPr>
            </w:pPr>
          </w:p>
        </w:tc>
        <w:tc>
          <w:tcPr>
            <w:tcW w:w="3715" w:type="dxa"/>
          </w:tcPr>
          <w:p w14:paraId="568108E1" w14:textId="70C0089F" w:rsidR="00D31FBB" w:rsidRPr="00A92CED" w:rsidRDefault="00D31FBB" w:rsidP="00D15EFA">
            <w:pPr>
              <w:rPr>
                <w:rFonts w:ascii="Calibri" w:hAnsi="Calibri" w:cs="Calibri"/>
                <w:lang w:val="fr-CA"/>
              </w:rPr>
            </w:pPr>
            <w:r w:rsidRPr="00A92CED">
              <w:rPr>
                <w:rFonts w:ascii="Calibri" w:hAnsi="Calibri" w:cs="Calibri"/>
                <w:b/>
                <w:bCs/>
                <w:lang w:val="fr-CA"/>
              </w:rPr>
              <w:t xml:space="preserve">468 </w:t>
            </w:r>
            <w:r w:rsidRPr="00A92CED">
              <w:rPr>
                <w:rFonts w:ascii="Calibri" w:hAnsi="Calibri" w:cs="Calibri"/>
                <w:lang w:val="fr-CA"/>
              </w:rPr>
              <w:t xml:space="preserve">(2) </w:t>
            </w:r>
            <w:r w:rsidRPr="00A92CED">
              <w:rPr>
                <w:rFonts w:ascii="Calibri" w:hAnsi="Calibri" w:cs="Calibri"/>
                <w:shd w:val="clear" w:color="auto" w:fill="FFFFFF"/>
                <w:lang w:val="fr-CA"/>
              </w:rPr>
              <w:t>L’inscription demeure valide pour une durée de cinq ans suivant la date indiquée dans l’attestation.</w:t>
            </w:r>
          </w:p>
        </w:tc>
        <w:tc>
          <w:tcPr>
            <w:tcW w:w="4097" w:type="dxa"/>
            <w:gridSpan w:val="2"/>
          </w:tcPr>
          <w:p w14:paraId="2F3E7B74" w14:textId="39795CEE" w:rsidR="00D31FBB" w:rsidRPr="00A92CED" w:rsidRDefault="00D31FBB" w:rsidP="00D15EFA">
            <w:pPr>
              <w:rPr>
                <w:lang w:val="fr-CA"/>
              </w:rPr>
            </w:pPr>
            <w:r w:rsidRPr="00A92CED">
              <w:rPr>
                <w:bCs/>
                <w:lang w:val="fr-CA"/>
              </w:rPr>
              <w:t xml:space="preserve">Modifier la version anglaise du paragraphe 468(2) pour remplacer le terme </w:t>
            </w:r>
            <w:r w:rsidRPr="00A92CED">
              <w:rPr>
                <w:rFonts w:cstheme="minorHAnsi"/>
                <w:bCs/>
                <w:lang w:val="fr-CA"/>
              </w:rPr>
              <w:t>« </w:t>
            </w:r>
            <w:r w:rsidRPr="00A92CED">
              <w:rPr>
                <w:bCs/>
                <w:lang w:val="fr-CA"/>
              </w:rPr>
              <w:t>listing </w:t>
            </w:r>
            <w:r w:rsidRPr="00A92CED">
              <w:rPr>
                <w:rFonts w:cstheme="minorHAnsi"/>
                <w:bCs/>
                <w:lang w:val="fr-CA"/>
              </w:rPr>
              <w:t>»</w:t>
            </w:r>
            <w:r w:rsidRPr="00A92CED">
              <w:rPr>
                <w:bCs/>
                <w:lang w:val="fr-CA"/>
              </w:rPr>
              <w:t xml:space="preserve"> par </w:t>
            </w:r>
            <w:r w:rsidRPr="00A92CED">
              <w:rPr>
                <w:rFonts w:cstheme="minorHAnsi"/>
                <w:bCs/>
                <w:lang w:val="fr-CA"/>
              </w:rPr>
              <w:t>«</w:t>
            </w:r>
            <w:r w:rsidRPr="00A92CED">
              <w:rPr>
                <w:bCs/>
                <w:lang w:val="fr-CA"/>
              </w:rPr>
              <w:t> </w:t>
            </w:r>
            <w:r w:rsidRPr="00A92CED">
              <w:rPr>
                <w:lang w:val="fr-CA"/>
              </w:rPr>
              <w:t>enrolment </w:t>
            </w:r>
            <w:r w:rsidRPr="00A92CED">
              <w:rPr>
                <w:rFonts w:cstheme="minorHAnsi"/>
                <w:lang w:val="fr-CA"/>
              </w:rPr>
              <w:t>».</w:t>
            </w:r>
          </w:p>
        </w:tc>
        <w:tc>
          <w:tcPr>
            <w:tcW w:w="3122" w:type="dxa"/>
          </w:tcPr>
          <w:p w14:paraId="0B12D135" w14:textId="61952005" w:rsidR="00D31FBB" w:rsidRPr="00A92CED" w:rsidRDefault="00D31FBB" w:rsidP="00D15EFA">
            <w:pPr>
              <w:rPr>
                <w:lang w:val="fr-CA"/>
              </w:rPr>
            </w:pPr>
            <w:r w:rsidRPr="00A92CED">
              <w:rPr>
                <w:lang w:val="fr-CA"/>
              </w:rPr>
              <w:t xml:space="preserve">L’amendement proposé appuie l’intention de la politique d’actualiser la terminologie utilisée dans le Règlement afin qu’elle reflète les pratiques actuelles. Il n’existe pas de liste de vendeurs de composants. </w:t>
            </w:r>
            <w:r w:rsidRPr="00A92CED">
              <w:rPr>
                <w:lang w:val="fr-CA"/>
              </w:rPr>
              <w:lastRenderedPageBreak/>
              <w:t xml:space="preserve">RNCan utilise plutôt le terme </w:t>
            </w:r>
            <w:r w:rsidRPr="00A92CED">
              <w:rPr>
                <w:rFonts w:cstheme="minorHAnsi"/>
                <w:lang w:val="fr-CA"/>
              </w:rPr>
              <w:t>« inscription </w:t>
            </w:r>
            <w:r w:rsidRPr="00A92CED">
              <w:rPr>
                <w:rFonts w:ascii="Calibri" w:hAnsi="Calibri" w:cs="Calibri"/>
                <w:lang w:val="fr-CA"/>
              </w:rPr>
              <w:t>».</w:t>
            </w:r>
          </w:p>
        </w:tc>
        <w:tc>
          <w:tcPr>
            <w:tcW w:w="3087" w:type="dxa"/>
          </w:tcPr>
          <w:p w14:paraId="76307BA6" w14:textId="77777777" w:rsidR="00D31FBB" w:rsidRPr="00A92CED" w:rsidRDefault="00D31FBB" w:rsidP="00D15EFA">
            <w:pPr>
              <w:rPr>
                <w:lang w:val="fr-CA"/>
              </w:rPr>
            </w:pPr>
          </w:p>
        </w:tc>
      </w:tr>
      <w:tr w:rsidR="00A92CED" w:rsidRPr="00A92CED" w14:paraId="576905D3" w14:textId="3D04864B" w:rsidTr="00E10233">
        <w:tc>
          <w:tcPr>
            <w:tcW w:w="3126" w:type="dxa"/>
          </w:tcPr>
          <w:p w14:paraId="08D11090" w14:textId="77777777" w:rsidR="00D31FBB" w:rsidRPr="00A92CED" w:rsidRDefault="00D31FBB" w:rsidP="00D15EFA">
            <w:pPr>
              <w:pStyle w:val="ListParagraph"/>
              <w:numPr>
                <w:ilvl w:val="0"/>
                <w:numId w:val="1"/>
              </w:numPr>
              <w:jc w:val="center"/>
              <w:rPr>
                <w:lang w:val="fr-CA"/>
              </w:rPr>
            </w:pPr>
          </w:p>
        </w:tc>
        <w:tc>
          <w:tcPr>
            <w:tcW w:w="3715" w:type="dxa"/>
          </w:tcPr>
          <w:p w14:paraId="577524D3" w14:textId="0A4EF609" w:rsidR="00D31FBB" w:rsidRPr="00A92CED" w:rsidRDefault="00D31FBB" w:rsidP="00D15EFA">
            <w:pPr>
              <w:rPr>
                <w:rFonts w:ascii="Calibri" w:hAnsi="Calibri" w:cs="Calibri"/>
                <w:lang w:val="fr-CA"/>
              </w:rPr>
            </w:pPr>
            <w:r w:rsidRPr="00A92CED">
              <w:rPr>
                <w:rFonts w:ascii="Calibri" w:hAnsi="Calibri" w:cs="Calibri"/>
                <w:b/>
                <w:bCs/>
                <w:lang w:val="fr-CA"/>
              </w:rPr>
              <w:t xml:space="preserve">473 </w:t>
            </w:r>
            <w:r w:rsidRPr="00A92CED">
              <w:rPr>
                <w:rFonts w:ascii="Calibri" w:hAnsi="Calibri" w:cs="Calibri"/>
                <w:lang w:val="fr-CA"/>
              </w:rPr>
              <w:t xml:space="preserve">(3) </w:t>
            </w:r>
            <w:r w:rsidRPr="00A92CED">
              <w:rPr>
                <w:rFonts w:ascii="Calibri" w:hAnsi="Calibri" w:cs="Calibri"/>
                <w:shd w:val="clear" w:color="auto" w:fill="FFFFFF"/>
                <w:lang w:val="fr-CA"/>
              </w:rPr>
              <w:t>Les entrées principales des bâtiments où un composant de niveau 1 est stocké sont éclairées en dehors des heures d’ouverture.</w:t>
            </w:r>
          </w:p>
        </w:tc>
        <w:tc>
          <w:tcPr>
            <w:tcW w:w="4097" w:type="dxa"/>
            <w:gridSpan w:val="2"/>
          </w:tcPr>
          <w:p w14:paraId="44129B8D" w14:textId="7235F83B" w:rsidR="00D31FBB" w:rsidRPr="00A92CED" w:rsidRDefault="00D31FBB" w:rsidP="00D15EFA">
            <w:pPr>
              <w:rPr>
                <w:lang w:val="fr-CA"/>
              </w:rPr>
            </w:pPr>
            <w:r w:rsidRPr="00A92CED">
              <w:rPr>
                <w:bCs/>
                <w:lang w:val="fr-CA"/>
              </w:rPr>
              <w:t>Modifier le paragraphe 473(3) pour préciser que toutes les entrées principales des bâtiments où un composant de niveau 1 est stocké doivent être éclairés du crépuscule à l’aube.</w:t>
            </w:r>
          </w:p>
        </w:tc>
        <w:tc>
          <w:tcPr>
            <w:tcW w:w="3122" w:type="dxa"/>
          </w:tcPr>
          <w:p w14:paraId="18E65574" w14:textId="1EC2C957" w:rsidR="00D31FBB" w:rsidRPr="00A92CED" w:rsidRDefault="00D31FBB" w:rsidP="00D15EFA">
            <w:pPr>
              <w:rPr>
                <w:lang w:val="fr-CA"/>
              </w:rPr>
            </w:pPr>
            <w:r w:rsidRPr="00A92CED">
              <w:rPr>
                <w:lang w:val="fr-CA"/>
              </w:rPr>
              <w:t>Cet amendement proposé vise à clarifier l’intention de la politique pour cette exigence. L’intention de la politique est de veiller à ce que les sites soient éclairés la nuit pour décourager le vol et rendre le site plus visible de la route pour que la police ou d’autres personnes puissent remarquer toute activité. Cet amendement proposé appuie également les initiatives écologiques, puisque les entrées n’ont pas besoin d’être éclairées les fins de semaine pendant la journée.</w:t>
            </w:r>
          </w:p>
        </w:tc>
        <w:tc>
          <w:tcPr>
            <w:tcW w:w="3087" w:type="dxa"/>
          </w:tcPr>
          <w:p w14:paraId="71A0AFCE" w14:textId="77777777" w:rsidR="00D31FBB" w:rsidRPr="00A92CED" w:rsidRDefault="00D31FBB" w:rsidP="00D15EFA">
            <w:pPr>
              <w:rPr>
                <w:lang w:val="fr-CA"/>
              </w:rPr>
            </w:pPr>
          </w:p>
        </w:tc>
      </w:tr>
      <w:tr w:rsidR="00A92CED" w:rsidRPr="00A92CED" w14:paraId="05223B29" w14:textId="3C855365" w:rsidTr="00E10233">
        <w:tc>
          <w:tcPr>
            <w:tcW w:w="3126" w:type="dxa"/>
          </w:tcPr>
          <w:p w14:paraId="731162D0" w14:textId="77777777" w:rsidR="00D31FBB" w:rsidRPr="00A92CED" w:rsidRDefault="00D31FBB" w:rsidP="00D15EFA">
            <w:pPr>
              <w:pStyle w:val="ListParagraph"/>
              <w:numPr>
                <w:ilvl w:val="0"/>
                <w:numId w:val="1"/>
              </w:numPr>
              <w:jc w:val="center"/>
              <w:rPr>
                <w:lang w:val="fr-CA"/>
              </w:rPr>
            </w:pPr>
          </w:p>
        </w:tc>
        <w:tc>
          <w:tcPr>
            <w:tcW w:w="3715" w:type="dxa"/>
          </w:tcPr>
          <w:p w14:paraId="0AD72E14" w14:textId="6D0EE1DB" w:rsidR="00D31FBB" w:rsidRPr="00A92CED" w:rsidRDefault="00D31FBB" w:rsidP="00D15EFA">
            <w:pPr>
              <w:pStyle w:val="section"/>
              <w:shd w:val="clear" w:color="auto" w:fill="FFFFFF"/>
              <w:spacing w:before="0" w:beforeAutospacing="0" w:after="0" w:afterAutospacing="0"/>
              <w:rPr>
                <w:rFonts w:ascii="Calibri" w:hAnsi="Calibri" w:cs="Calibri"/>
                <w:sz w:val="22"/>
                <w:szCs w:val="22"/>
                <w:lang w:val="fr-CA"/>
              </w:rPr>
            </w:pPr>
            <w:r w:rsidRPr="00A92CED">
              <w:rPr>
                <w:rStyle w:val="lawlabel"/>
                <w:rFonts w:ascii="Calibri" w:hAnsi="Calibri" w:cs="Calibri"/>
                <w:b/>
                <w:bCs/>
                <w:sz w:val="22"/>
                <w:szCs w:val="22"/>
                <w:lang w:val="fr-CA"/>
              </w:rPr>
              <w:t>479</w:t>
            </w:r>
            <w:r w:rsidRPr="00A92CED">
              <w:rPr>
                <w:rFonts w:ascii="Calibri" w:hAnsi="Calibri" w:cs="Calibri"/>
                <w:sz w:val="22"/>
                <w:szCs w:val="22"/>
                <w:lang w:val="fr-CA"/>
              </w:rPr>
              <w:t> Pour chaque année civile, un inventaire est présenté à l’inspecteur en chef des explosifs au plus tard le 31 mars suivant l’année en cause sur le formulaire fourni par le ministère des Ressources naturelles. L’inventaire contient les renseignements suivants :</w:t>
            </w:r>
          </w:p>
          <w:p w14:paraId="7C0F5D59" w14:textId="41FA1386" w:rsidR="00D31FBB" w:rsidRPr="00A92CED" w:rsidRDefault="00D31FBB" w:rsidP="00D15EFA">
            <w:pPr>
              <w:pStyle w:val="paragraph"/>
              <w:shd w:val="clear" w:color="auto" w:fill="FFFFFF"/>
              <w:spacing w:before="0" w:beforeAutospacing="0" w:after="0" w:afterAutospacing="0"/>
              <w:ind w:left="720"/>
              <w:rPr>
                <w:rFonts w:ascii="Calibri" w:hAnsi="Calibri" w:cs="Calibri"/>
                <w:sz w:val="22"/>
                <w:szCs w:val="22"/>
                <w:lang w:val="fr-CA"/>
              </w:rPr>
            </w:pPr>
            <w:r w:rsidRPr="00A92CED">
              <w:rPr>
                <w:rStyle w:val="lawlabel"/>
                <w:rFonts w:ascii="Calibri" w:hAnsi="Calibri" w:cs="Calibri"/>
                <w:sz w:val="22"/>
                <w:szCs w:val="22"/>
                <w:lang w:val="fr-CA"/>
              </w:rPr>
              <w:t>a)</w:t>
            </w:r>
            <w:r w:rsidRPr="00A92CED">
              <w:rPr>
                <w:rFonts w:ascii="Calibri" w:hAnsi="Calibri" w:cs="Calibri"/>
                <w:sz w:val="22"/>
                <w:szCs w:val="22"/>
                <w:lang w:val="fr-CA"/>
              </w:rPr>
              <w:t> le numéro d’inscription du vendeur de composant ou du vendeur de produit;</w:t>
            </w:r>
          </w:p>
          <w:p w14:paraId="747D265A" w14:textId="77777777" w:rsidR="00D31FBB" w:rsidRPr="00A92CED" w:rsidRDefault="00D31FBB" w:rsidP="00D15EFA">
            <w:pPr>
              <w:pStyle w:val="paragraph"/>
              <w:shd w:val="clear" w:color="auto" w:fill="FFFFFF"/>
              <w:spacing w:before="0" w:beforeAutospacing="0" w:after="0" w:afterAutospacing="0"/>
              <w:ind w:left="720"/>
              <w:rPr>
                <w:rFonts w:ascii="Calibri" w:hAnsi="Calibri" w:cs="Calibri"/>
                <w:sz w:val="22"/>
                <w:szCs w:val="22"/>
                <w:lang w:val="fr-CA"/>
              </w:rPr>
            </w:pPr>
            <w:r w:rsidRPr="00A92CED">
              <w:rPr>
                <w:rStyle w:val="lawlabel"/>
                <w:rFonts w:ascii="Calibri" w:hAnsi="Calibri" w:cs="Calibri"/>
                <w:sz w:val="22"/>
                <w:szCs w:val="22"/>
                <w:lang w:val="fr-CA"/>
              </w:rPr>
              <w:t>b)</w:t>
            </w:r>
            <w:r w:rsidRPr="00A92CED">
              <w:rPr>
                <w:rFonts w:ascii="Calibri" w:hAnsi="Calibri" w:cs="Calibri"/>
                <w:sz w:val="22"/>
                <w:szCs w:val="22"/>
                <w:lang w:val="fr-CA"/>
              </w:rPr>
              <w:t> un relevé concernant le composant de niveau 1 qui comprend, pour chaque endroit où le composant est stocké ou vendu, selon le cas :</w:t>
            </w:r>
          </w:p>
          <w:p w14:paraId="003530D4" w14:textId="72892F78" w:rsidR="00D31FBB" w:rsidRPr="00A92CED" w:rsidRDefault="00D31FBB" w:rsidP="00D15EFA">
            <w:pPr>
              <w:pStyle w:val="subparagraph"/>
              <w:shd w:val="clear" w:color="auto" w:fill="FFFFFF"/>
              <w:spacing w:before="0" w:beforeAutospacing="0" w:after="0" w:afterAutospacing="0"/>
              <w:ind w:left="1440"/>
              <w:rPr>
                <w:rFonts w:ascii="Calibri" w:hAnsi="Calibri" w:cs="Calibri"/>
                <w:sz w:val="22"/>
                <w:szCs w:val="22"/>
                <w:lang w:val="fr-CA"/>
              </w:rPr>
            </w:pPr>
            <w:r w:rsidRPr="00A92CED">
              <w:rPr>
                <w:rStyle w:val="lawlabel"/>
                <w:rFonts w:ascii="Calibri" w:hAnsi="Calibri" w:cs="Calibri"/>
                <w:sz w:val="22"/>
                <w:szCs w:val="22"/>
                <w:lang w:val="fr-CA"/>
              </w:rPr>
              <w:lastRenderedPageBreak/>
              <w:t>(i)</w:t>
            </w:r>
            <w:r w:rsidRPr="00A92CED">
              <w:rPr>
                <w:rFonts w:ascii="Calibri" w:hAnsi="Calibri" w:cs="Calibri"/>
                <w:sz w:val="22"/>
                <w:szCs w:val="22"/>
                <w:lang w:val="fr-CA"/>
              </w:rPr>
              <w:t> les stocks du composant en début d’inventaire,</w:t>
            </w:r>
          </w:p>
          <w:p w14:paraId="139ED84F" w14:textId="77777777" w:rsidR="00D31FBB" w:rsidRPr="00A92CED" w:rsidRDefault="00D31FBB" w:rsidP="00D15EFA">
            <w:pPr>
              <w:pStyle w:val="subparagraph"/>
              <w:shd w:val="clear" w:color="auto" w:fill="FFFFFF"/>
              <w:spacing w:before="0" w:beforeAutospacing="0" w:after="0" w:afterAutospacing="0"/>
              <w:ind w:left="1440"/>
              <w:rPr>
                <w:rFonts w:ascii="Calibri" w:hAnsi="Calibri" w:cs="Calibri"/>
                <w:sz w:val="22"/>
                <w:szCs w:val="22"/>
                <w:lang w:val="fr-CA"/>
              </w:rPr>
            </w:pPr>
            <w:r w:rsidRPr="00A92CED">
              <w:rPr>
                <w:rStyle w:val="lawlabel"/>
                <w:rFonts w:ascii="Calibri" w:hAnsi="Calibri" w:cs="Calibri"/>
                <w:sz w:val="22"/>
                <w:szCs w:val="22"/>
                <w:lang w:val="fr-CA"/>
              </w:rPr>
              <w:t>(ii)</w:t>
            </w:r>
            <w:r w:rsidRPr="00A92CED">
              <w:rPr>
                <w:rFonts w:ascii="Calibri" w:hAnsi="Calibri" w:cs="Calibri"/>
                <w:sz w:val="22"/>
                <w:szCs w:val="22"/>
                <w:lang w:val="fr-CA"/>
              </w:rPr>
              <w:t> la quantité de composant fabriquée,</w:t>
            </w:r>
          </w:p>
          <w:p w14:paraId="4FDD1761" w14:textId="55343890" w:rsidR="00D31FBB" w:rsidRPr="00A92CED" w:rsidRDefault="00D31FBB" w:rsidP="00D15EFA">
            <w:pPr>
              <w:pStyle w:val="subparagraph"/>
              <w:shd w:val="clear" w:color="auto" w:fill="FFFFFF"/>
              <w:spacing w:before="0" w:beforeAutospacing="0" w:after="0" w:afterAutospacing="0"/>
              <w:ind w:left="1440"/>
              <w:rPr>
                <w:rFonts w:ascii="Calibri" w:hAnsi="Calibri" w:cs="Calibri"/>
                <w:sz w:val="22"/>
                <w:szCs w:val="22"/>
                <w:lang w:val="fr-CA"/>
              </w:rPr>
            </w:pPr>
            <w:r w:rsidRPr="00A92CED">
              <w:rPr>
                <w:rStyle w:val="lawlabel"/>
                <w:rFonts w:ascii="Calibri" w:hAnsi="Calibri" w:cs="Calibri"/>
                <w:sz w:val="22"/>
                <w:szCs w:val="22"/>
                <w:lang w:val="fr-CA"/>
              </w:rPr>
              <w:t>(iii)</w:t>
            </w:r>
            <w:r w:rsidRPr="00A92CED">
              <w:rPr>
                <w:rFonts w:ascii="Calibri" w:hAnsi="Calibri" w:cs="Calibri"/>
                <w:sz w:val="22"/>
                <w:szCs w:val="22"/>
                <w:lang w:val="fr-CA"/>
              </w:rPr>
              <w:t> la quantité de composant acquise, ainsi que le moyen d’acquisition,</w:t>
            </w:r>
          </w:p>
          <w:p w14:paraId="6FD6D3C9" w14:textId="77777777" w:rsidR="00D31FBB" w:rsidRPr="00A92CED" w:rsidRDefault="00D31FBB" w:rsidP="00D15EFA">
            <w:pPr>
              <w:pStyle w:val="subparagraph"/>
              <w:shd w:val="clear" w:color="auto" w:fill="FFFFFF"/>
              <w:spacing w:before="0" w:beforeAutospacing="0" w:after="0" w:afterAutospacing="0"/>
              <w:ind w:left="1440"/>
              <w:rPr>
                <w:rFonts w:ascii="Calibri" w:hAnsi="Calibri" w:cs="Calibri"/>
                <w:sz w:val="22"/>
                <w:szCs w:val="22"/>
                <w:lang w:val="fr-CA"/>
              </w:rPr>
            </w:pPr>
            <w:r w:rsidRPr="00A92CED">
              <w:rPr>
                <w:rStyle w:val="lawlabel"/>
                <w:rFonts w:ascii="Calibri" w:hAnsi="Calibri" w:cs="Calibri"/>
                <w:sz w:val="22"/>
                <w:szCs w:val="22"/>
                <w:lang w:val="fr-CA"/>
              </w:rPr>
              <w:t>(iv)</w:t>
            </w:r>
            <w:r w:rsidRPr="00A92CED">
              <w:rPr>
                <w:rFonts w:ascii="Calibri" w:hAnsi="Calibri" w:cs="Calibri"/>
                <w:sz w:val="22"/>
                <w:szCs w:val="22"/>
                <w:lang w:val="fr-CA"/>
              </w:rPr>
              <w:t> la quantité de composant utilisée, vendue, exportée, détruite, volée ou perdue, selon le cas,</w:t>
            </w:r>
          </w:p>
          <w:p w14:paraId="1F87B97D" w14:textId="4ECD7181" w:rsidR="00D31FBB" w:rsidRPr="00A92CED" w:rsidRDefault="00D31FBB" w:rsidP="00D15EFA">
            <w:pPr>
              <w:pStyle w:val="subparagraph"/>
              <w:shd w:val="clear" w:color="auto" w:fill="FFFFFF"/>
              <w:spacing w:before="0" w:beforeAutospacing="0" w:after="0" w:afterAutospacing="0"/>
              <w:ind w:left="1440"/>
              <w:rPr>
                <w:rFonts w:ascii="Calibri" w:hAnsi="Calibri" w:cs="Calibri"/>
                <w:sz w:val="22"/>
                <w:szCs w:val="22"/>
                <w:lang w:val="fr-CA"/>
              </w:rPr>
            </w:pPr>
            <w:r w:rsidRPr="00A92CED">
              <w:rPr>
                <w:rStyle w:val="lawlabel"/>
                <w:rFonts w:ascii="Calibri" w:hAnsi="Calibri" w:cs="Calibri"/>
                <w:sz w:val="22"/>
                <w:szCs w:val="22"/>
                <w:lang w:val="fr-CA"/>
              </w:rPr>
              <w:t>(v)</w:t>
            </w:r>
            <w:r w:rsidRPr="00A92CED">
              <w:rPr>
                <w:rFonts w:ascii="Calibri" w:hAnsi="Calibri" w:cs="Calibri"/>
                <w:sz w:val="22"/>
                <w:szCs w:val="22"/>
                <w:lang w:val="fr-CA"/>
              </w:rPr>
              <w:t> les stocks du composant en fin d’inventaire,</w:t>
            </w:r>
          </w:p>
          <w:p w14:paraId="34E3A071" w14:textId="15D1EC4D" w:rsidR="00D31FBB" w:rsidRPr="00A92CED" w:rsidRDefault="00D31FBB" w:rsidP="00D15EFA">
            <w:pPr>
              <w:pStyle w:val="subparagraph"/>
              <w:shd w:val="clear" w:color="auto" w:fill="FFFFFF"/>
              <w:spacing w:before="0" w:beforeAutospacing="0" w:after="0" w:afterAutospacing="0"/>
              <w:ind w:left="1440"/>
              <w:rPr>
                <w:rFonts w:ascii="Calibri" w:hAnsi="Calibri" w:cs="Calibri"/>
                <w:sz w:val="22"/>
                <w:szCs w:val="22"/>
                <w:lang w:val="fr-CA"/>
              </w:rPr>
            </w:pPr>
            <w:r w:rsidRPr="00A92CED">
              <w:rPr>
                <w:rStyle w:val="lawlabel"/>
                <w:rFonts w:ascii="Calibri" w:hAnsi="Calibri" w:cs="Calibri"/>
                <w:sz w:val="22"/>
                <w:szCs w:val="22"/>
                <w:lang w:val="fr-CA"/>
              </w:rPr>
              <w:t>(vi)</w:t>
            </w:r>
            <w:r w:rsidRPr="00A92CED">
              <w:rPr>
                <w:rFonts w:ascii="Calibri" w:hAnsi="Calibri" w:cs="Calibri"/>
                <w:sz w:val="22"/>
                <w:szCs w:val="22"/>
                <w:lang w:val="fr-CA"/>
              </w:rPr>
              <w:t> la perte normalement attribuable, selon les données rétrospectives, à la perte d’eau ou aux abrasions mécaniques;</w:t>
            </w:r>
          </w:p>
          <w:p w14:paraId="7D08CCBB" w14:textId="2F7FFFF9" w:rsidR="00D31FBB" w:rsidRPr="00A92CED" w:rsidRDefault="00D31FBB" w:rsidP="00D15EFA">
            <w:pPr>
              <w:pStyle w:val="paragraph"/>
              <w:shd w:val="clear" w:color="auto" w:fill="FFFFFF"/>
              <w:spacing w:before="0" w:beforeAutospacing="0" w:after="0" w:afterAutospacing="0"/>
              <w:ind w:left="720"/>
              <w:rPr>
                <w:rFonts w:ascii="Helvetica" w:hAnsi="Helvetica" w:cs="Helvetica"/>
                <w:lang w:val="fr-CA"/>
              </w:rPr>
            </w:pPr>
            <w:r w:rsidRPr="00A92CED">
              <w:rPr>
                <w:rStyle w:val="lawlabel"/>
                <w:rFonts w:ascii="Calibri" w:hAnsi="Calibri" w:cs="Calibri"/>
                <w:sz w:val="22"/>
                <w:szCs w:val="22"/>
                <w:lang w:val="fr-CA"/>
              </w:rPr>
              <w:t>c)</w:t>
            </w:r>
            <w:r w:rsidRPr="00A92CED">
              <w:rPr>
                <w:rFonts w:ascii="Calibri" w:hAnsi="Calibri" w:cs="Calibri"/>
                <w:sz w:val="22"/>
                <w:szCs w:val="22"/>
                <w:lang w:val="fr-CA"/>
              </w:rPr>
              <w:t> les nom, adresse, numéro de téléphone, numéro de télécopieur et adresse électronique de la personne qui a rempli le formulaire.</w:t>
            </w:r>
          </w:p>
        </w:tc>
        <w:tc>
          <w:tcPr>
            <w:tcW w:w="4097" w:type="dxa"/>
            <w:gridSpan w:val="2"/>
          </w:tcPr>
          <w:p w14:paraId="55A315D9" w14:textId="55A90B14" w:rsidR="00D31FBB" w:rsidRPr="00A92CED" w:rsidRDefault="00D31FBB" w:rsidP="00D15EFA">
            <w:pPr>
              <w:rPr>
                <w:lang w:val="fr-CA"/>
              </w:rPr>
            </w:pPr>
            <w:r w:rsidRPr="00A92CED">
              <w:rPr>
                <w:bCs/>
                <w:lang w:val="fr-CA"/>
              </w:rPr>
              <w:lastRenderedPageBreak/>
              <w:t>Modifier l’article 479 pour supprimer l’obligation de présenter l’inventaire à l’inspecteur en chef des explosifs chaque année et d’exiger à la place qu’un inventaire soit conservé pour chaque année civile pendant deux ans après la fin de l’année civile en cause et qu’il soit mis à la disposition de l’inspecteur en chef des explosifs sur demande.</w:t>
            </w:r>
          </w:p>
        </w:tc>
        <w:tc>
          <w:tcPr>
            <w:tcW w:w="3122" w:type="dxa"/>
          </w:tcPr>
          <w:p w14:paraId="6C89FFAB" w14:textId="0DE1557C" w:rsidR="00D31FBB" w:rsidRPr="00A92CED" w:rsidRDefault="00D31FBB" w:rsidP="00D15EFA">
            <w:pPr>
              <w:rPr>
                <w:lang w:val="fr-CA"/>
              </w:rPr>
            </w:pPr>
            <w:r w:rsidRPr="00A92CED">
              <w:rPr>
                <w:lang w:val="fr-CA"/>
              </w:rPr>
              <w:t>Cet amendement proposé appuie l’intention de la politique de réduire les dispositions du Règlement qui alourdissent inutilement le fardeau administratif.</w:t>
            </w:r>
          </w:p>
        </w:tc>
        <w:tc>
          <w:tcPr>
            <w:tcW w:w="3087" w:type="dxa"/>
          </w:tcPr>
          <w:p w14:paraId="61DD1059" w14:textId="77777777" w:rsidR="00D31FBB" w:rsidRPr="00A92CED" w:rsidRDefault="00D31FBB" w:rsidP="00D15EFA">
            <w:pPr>
              <w:rPr>
                <w:lang w:val="fr-CA"/>
              </w:rPr>
            </w:pPr>
          </w:p>
        </w:tc>
      </w:tr>
      <w:tr w:rsidR="00A92CED" w:rsidRPr="00A92CED" w14:paraId="51C737FA" w14:textId="78C90B2F" w:rsidTr="00E10233">
        <w:tc>
          <w:tcPr>
            <w:tcW w:w="3126" w:type="dxa"/>
          </w:tcPr>
          <w:p w14:paraId="56A66EC8" w14:textId="77777777" w:rsidR="00D31FBB" w:rsidRPr="00A92CED" w:rsidRDefault="00D31FBB" w:rsidP="00D15EFA">
            <w:pPr>
              <w:pStyle w:val="ListParagraph"/>
              <w:numPr>
                <w:ilvl w:val="0"/>
                <w:numId w:val="1"/>
              </w:numPr>
              <w:jc w:val="center"/>
              <w:rPr>
                <w:lang w:val="fr-CA"/>
              </w:rPr>
            </w:pPr>
          </w:p>
        </w:tc>
        <w:tc>
          <w:tcPr>
            <w:tcW w:w="3715" w:type="dxa"/>
          </w:tcPr>
          <w:p w14:paraId="41C8B464" w14:textId="2A543C9F" w:rsidR="00D31FBB" w:rsidRPr="00A92CED" w:rsidRDefault="00D31FBB" w:rsidP="00D15EFA">
            <w:pPr>
              <w:pStyle w:val="section"/>
              <w:shd w:val="clear" w:color="auto" w:fill="FFFFFF"/>
              <w:spacing w:before="0" w:beforeAutospacing="0" w:after="0" w:afterAutospacing="0"/>
              <w:rPr>
                <w:rFonts w:ascii="Calibri" w:hAnsi="Calibri" w:cs="Calibri"/>
                <w:sz w:val="22"/>
                <w:szCs w:val="22"/>
                <w:lang w:val="fr-CA"/>
              </w:rPr>
            </w:pPr>
            <w:r w:rsidRPr="00A92CED">
              <w:rPr>
                <w:rStyle w:val="lawlabel"/>
                <w:rFonts w:ascii="Calibri" w:hAnsi="Calibri" w:cs="Calibri"/>
                <w:b/>
                <w:bCs/>
                <w:sz w:val="22"/>
                <w:szCs w:val="22"/>
                <w:lang w:val="fr-CA"/>
              </w:rPr>
              <w:t>479</w:t>
            </w:r>
            <w:r w:rsidRPr="00A92CED">
              <w:rPr>
                <w:rFonts w:ascii="Calibri" w:hAnsi="Calibri" w:cs="Calibri"/>
                <w:sz w:val="22"/>
                <w:szCs w:val="22"/>
                <w:lang w:val="fr-CA"/>
              </w:rPr>
              <w:t xml:space="preserve"> Pour chaque année civile, un inventaire est présenté à l’inspecteur en chef des explosifs au plus tard le 31 mars suivant l’année en cause sur le </w:t>
            </w:r>
            <w:r w:rsidRPr="00A92CED">
              <w:rPr>
                <w:rFonts w:ascii="Calibri" w:hAnsi="Calibri" w:cs="Calibri"/>
                <w:sz w:val="22"/>
                <w:szCs w:val="22"/>
                <w:lang w:val="fr-CA"/>
              </w:rPr>
              <w:lastRenderedPageBreak/>
              <w:t>formulaire fourni par le ministère des Ressources naturelles. L’inventaire contient les renseignements suivants :</w:t>
            </w:r>
          </w:p>
          <w:p w14:paraId="49F4C054" w14:textId="18F2E1DD" w:rsidR="00D31FBB" w:rsidRPr="00A92CED" w:rsidRDefault="00D31FBB" w:rsidP="00D15EFA">
            <w:pPr>
              <w:pStyle w:val="paragraph"/>
              <w:shd w:val="clear" w:color="auto" w:fill="FFFFFF"/>
              <w:spacing w:before="0" w:beforeAutospacing="0" w:after="0" w:afterAutospacing="0"/>
              <w:ind w:left="720"/>
              <w:rPr>
                <w:rFonts w:ascii="Calibri" w:hAnsi="Calibri" w:cs="Calibri"/>
                <w:sz w:val="22"/>
                <w:szCs w:val="22"/>
                <w:lang w:val="fr-CA"/>
              </w:rPr>
            </w:pPr>
            <w:r w:rsidRPr="00A92CED">
              <w:rPr>
                <w:rStyle w:val="lawlabel"/>
                <w:rFonts w:ascii="Calibri" w:hAnsi="Calibri" w:cs="Calibri"/>
                <w:sz w:val="22"/>
                <w:szCs w:val="22"/>
                <w:lang w:val="fr-CA"/>
              </w:rPr>
              <w:t>a)</w:t>
            </w:r>
            <w:r w:rsidRPr="00A92CED">
              <w:rPr>
                <w:rFonts w:ascii="Calibri" w:hAnsi="Calibri" w:cs="Calibri"/>
                <w:sz w:val="22"/>
                <w:szCs w:val="22"/>
                <w:lang w:val="fr-CA"/>
              </w:rPr>
              <w:t> le numéro d’inscription du vendeur de composant ou du vendeur de produit;</w:t>
            </w:r>
          </w:p>
        </w:tc>
        <w:tc>
          <w:tcPr>
            <w:tcW w:w="4097" w:type="dxa"/>
            <w:gridSpan w:val="2"/>
          </w:tcPr>
          <w:p w14:paraId="4D832FE8" w14:textId="0DB01FFF" w:rsidR="00D31FBB" w:rsidRPr="00A92CED" w:rsidRDefault="00D31FBB" w:rsidP="00D15EFA">
            <w:pPr>
              <w:rPr>
                <w:lang w:val="fr-CA"/>
              </w:rPr>
            </w:pPr>
            <w:r w:rsidRPr="00A92CED">
              <w:rPr>
                <w:bCs/>
                <w:lang w:val="fr-CA"/>
              </w:rPr>
              <w:lastRenderedPageBreak/>
              <w:t xml:space="preserve">Modifier la version anglaise de l’alinéa 479a) pour remplacer le terme </w:t>
            </w:r>
            <w:r w:rsidRPr="00A92CED">
              <w:rPr>
                <w:rFonts w:cstheme="minorHAnsi"/>
                <w:bCs/>
                <w:lang w:val="fr-CA"/>
              </w:rPr>
              <w:t>« listing number </w:t>
            </w:r>
            <w:r w:rsidRPr="00A92CED">
              <w:rPr>
                <w:rFonts w:ascii="Calibri" w:hAnsi="Calibri" w:cs="Calibri"/>
                <w:bCs/>
                <w:lang w:val="fr-CA"/>
              </w:rPr>
              <w:t xml:space="preserve">» par </w:t>
            </w:r>
            <w:r w:rsidRPr="00A92CED">
              <w:rPr>
                <w:rFonts w:cstheme="minorHAnsi"/>
                <w:bCs/>
                <w:lang w:val="fr-CA"/>
              </w:rPr>
              <w:t>« enrolment number </w:t>
            </w:r>
            <w:r w:rsidRPr="00A92CED">
              <w:rPr>
                <w:rFonts w:ascii="Calibri" w:hAnsi="Calibri" w:cs="Calibri"/>
                <w:bCs/>
                <w:lang w:val="fr-CA"/>
              </w:rPr>
              <w:t>».</w:t>
            </w:r>
          </w:p>
        </w:tc>
        <w:tc>
          <w:tcPr>
            <w:tcW w:w="3122" w:type="dxa"/>
          </w:tcPr>
          <w:p w14:paraId="3CD1A582" w14:textId="084AA3D5" w:rsidR="00D31FBB" w:rsidRPr="00A92CED" w:rsidRDefault="00D31FBB" w:rsidP="00D15EFA">
            <w:pPr>
              <w:rPr>
                <w:lang w:val="fr-CA"/>
              </w:rPr>
            </w:pPr>
            <w:r w:rsidRPr="00A92CED">
              <w:rPr>
                <w:lang w:val="fr-CA"/>
              </w:rPr>
              <w:t xml:space="preserve">L’amendement proposé appuie l’intention de la politique d’actualiser la terminologie utilisée dans le Règlement afin </w:t>
            </w:r>
            <w:r w:rsidRPr="00A92CED">
              <w:rPr>
                <w:lang w:val="fr-CA"/>
              </w:rPr>
              <w:lastRenderedPageBreak/>
              <w:t xml:space="preserve">qu’elle reflète les pratiques actuelles. Il n’existe pas de liste de vendeurs de composants ou de vendeurs de produits. RNCan utilise plutôt le terme </w:t>
            </w:r>
            <w:r w:rsidRPr="00A92CED">
              <w:rPr>
                <w:rFonts w:cstheme="minorHAnsi"/>
                <w:lang w:val="fr-CA"/>
              </w:rPr>
              <w:t>« inscription </w:t>
            </w:r>
            <w:r w:rsidRPr="00A92CED">
              <w:rPr>
                <w:rFonts w:ascii="Calibri" w:hAnsi="Calibri" w:cs="Calibri"/>
                <w:lang w:val="fr-CA"/>
              </w:rPr>
              <w:t>».</w:t>
            </w:r>
          </w:p>
        </w:tc>
        <w:tc>
          <w:tcPr>
            <w:tcW w:w="3087" w:type="dxa"/>
          </w:tcPr>
          <w:p w14:paraId="53BEF6A5" w14:textId="77777777" w:rsidR="00D31FBB" w:rsidRPr="00A92CED" w:rsidRDefault="00D31FBB" w:rsidP="00D15EFA">
            <w:pPr>
              <w:rPr>
                <w:lang w:val="fr-CA"/>
              </w:rPr>
            </w:pPr>
          </w:p>
        </w:tc>
      </w:tr>
      <w:tr w:rsidR="00A92CED" w:rsidRPr="00A92CED" w14:paraId="2FC12C55" w14:textId="6008F96C" w:rsidTr="00E10233">
        <w:tc>
          <w:tcPr>
            <w:tcW w:w="3126" w:type="dxa"/>
          </w:tcPr>
          <w:p w14:paraId="62BB6429" w14:textId="77777777" w:rsidR="00D31FBB" w:rsidRPr="00A92CED" w:rsidRDefault="00D31FBB" w:rsidP="00D15EFA">
            <w:pPr>
              <w:pStyle w:val="ListParagraph"/>
              <w:numPr>
                <w:ilvl w:val="0"/>
                <w:numId w:val="1"/>
              </w:numPr>
              <w:jc w:val="center"/>
              <w:rPr>
                <w:lang w:val="fr-CA"/>
              </w:rPr>
            </w:pPr>
          </w:p>
        </w:tc>
        <w:tc>
          <w:tcPr>
            <w:tcW w:w="3715" w:type="dxa"/>
          </w:tcPr>
          <w:p w14:paraId="49FE59C7" w14:textId="32685FD6" w:rsidR="00D31FBB" w:rsidRPr="00A92CED" w:rsidRDefault="00D31FBB" w:rsidP="00D15EFA">
            <w:pPr>
              <w:rPr>
                <w:rFonts w:ascii="Calibri" w:hAnsi="Calibri" w:cs="Calibri"/>
                <w:b/>
                <w:bCs/>
                <w:lang w:val="fr-CA"/>
              </w:rPr>
            </w:pPr>
            <w:r w:rsidRPr="00A92CED">
              <w:rPr>
                <w:rFonts w:ascii="Calibri" w:hAnsi="Calibri" w:cs="Calibri"/>
                <w:b/>
                <w:bCs/>
                <w:lang w:val="fr-CA"/>
              </w:rPr>
              <w:t xml:space="preserve">483 </w:t>
            </w:r>
            <w:r w:rsidRPr="00A92CED">
              <w:rPr>
                <w:rFonts w:ascii="Calibri" w:hAnsi="Calibri" w:cs="Calibri"/>
                <w:shd w:val="clear" w:color="auto" w:fill="FFFFFF"/>
                <w:lang w:val="fr-CA"/>
              </w:rPr>
              <w:t>Un composant de niveau 1 peut être vendu à l’acheteur qui ne peut établir son identité conformément à l’article 482 si un autre vendeur de composant confirme par écrit que le document d’identité exigé à l’égard de cet acheteur lui a été présenté. La confirmation indique le type de document et son numéro de référence.</w:t>
            </w:r>
          </w:p>
        </w:tc>
        <w:tc>
          <w:tcPr>
            <w:tcW w:w="4097" w:type="dxa"/>
            <w:gridSpan w:val="2"/>
          </w:tcPr>
          <w:p w14:paraId="3DC6FBD0" w14:textId="282CDEA6" w:rsidR="00D31FBB" w:rsidRPr="00A92CED" w:rsidRDefault="00D31FBB" w:rsidP="00D15EFA">
            <w:pPr>
              <w:rPr>
                <w:lang w:val="fr-CA"/>
              </w:rPr>
            </w:pPr>
            <w:r w:rsidRPr="00A92CED">
              <w:rPr>
                <w:bCs/>
                <w:lang w:val="fr-CA"/>
              </w:rPr>
              <w:t>Modifier la partie 20 pour supprimer l’article 483.</w:t>
            </w:r>
          </w:p>
        </w:tc>
        <w:tc>
          <w:tcPr>
            <w:tcW w:w="3122" w:type="dxa"/>
          </w:tcPr>
          <w:p w14:paraId="15B73035" w14:textId="70455E51" w:rsidR="00D31FBB" w:rsidRPr="00A92CED" w:rsidRDefault="00D31FBB" w:rsidP="00D15EFA">
            <w:pPr>
              <w:rPr>
                <w:lang w:val="fr-CA"/>
              </w:rPr>
            </w:pPr>
            <w:r w:rsidRPr="00A92CED">
              <w:rPr>
                <w:lang w:val="fr-CA"/>
              </w:rPr>
              <w:t>L’amendement proposé appuie l’intention de la politique de faire en sorte que les dispositions soient nécessaires et utiles pour RNCan et qu’elles reflètent les pratiques actuelles.</w:t>
            </w:r>
          </w:p>
        </w:tc>
        <w:tc>
          <w:tcPr>
            <w:tcW w:w="3087" w:type="dxa"/>
          </w:tcPr>
          <w:p w14:paraId="53558A23" w14:textId="77777777" w:rsidR="00D31FBB" w:rsidRPr="00A92CED" w:rsidRDefault="00D31FBB" w:rsidP="00D15EFA">
            <w:pPr>
              <w:rPr>
                <w:lang w:val="fr-CA"/>
              </w:rPr>
            </w:pPr>
          </w:p>
        </w:tc>
      </w:tr>
      <w:tr w:rsidR="00A92CED" w:rsidRPr="00A92CED" w14:paraId="0643CDA9" w14:textId="13A13BC1" w:rsidTr="00E10233">
        <w:tc>
          <w:tcPr>
            <w:tcW w:w="3126" w:type="dxa"/>
          </w:tcPr>
          <w:p w14:paraId="20CE92DF" w14:textId="77777777" w:rsidR="00D31FBB" w:rsidRPr="00A92CED" w:rsidRDefault="00D31FBB" w:rsidP="00D15EFA">
            <w:pPr>
              <w:pStyle w:val="ListParagraph"/>
              <w:numPr>
                <w:ilvl w:val="0"/>
                <w:numId w:val="1"/>
              </w:numPr>
              <w:jc w:val="center"/>
              <w:rPr>
                <w:lang w:val="fr-CA"/>
              </w:rPr>
            </w:pPr>
          </w:p>
        </w:tc>
        <w:tc>
          <w:tcPr>
            <w:tcW w:w="3715" w:type="dxa"/>
          </w:tcPr>
          <w:p w14:paraId="3E87D4C8" w14:textId="2D2D390C" w:rsidR="00D31FBB" w:rsidRPr="00A92CED" w:rsidRDefault="00D31FBB" w:rsidP="00D15EFA">
            <w:pPr>
              <w:rPr>
                <w:rFonts w:ascii="Calibri" w:hAnsi="Calibri" w:cs="Calibri"/>
                <w:shd w:val="clear" w:color="auto" w:fill="FFFFFF"/>
                <w:lang w:val="fr-CA"/>
              </w:rPr>
            </w:pPr>
            <w:r w:rsidRPr="00A92CED">
              <w:rPr>
                <w:rFonts w:ascii="Calibri" w:hAnsi="Calibri" w:cs="Calibri"/>
                <w:b/>
                <w:bCs/>
                <w:lang w:val="fr-CA"/>
              </w:rPr>
              <w:t xml:space="preserve">484 </w:t>
            </w:r>
            <w:r w:rsidRPr="00A92CED">
              <w:rPr>
                <w:rFonts w:ascii="Calibri" w:hAnsi="Calibri" w:cs="Calibri"/>
                <w:lang w:val="fr-CA"/>
              </w:rPr>
              <w:t xml:space="preserve">(1) </w:t>
            </w:r>
            <w:r w:rsidRPr="00A92CED">
              <w:rPr>
                <w:rFonts w:ascii="Calibri" w:hAnsi="Calibri" w:cs="Calibri"/>
                <w:shd w:val="clear" w:color="auto" w:fill="FFFFFF"/>
                <w:lang w:val="fr-CA"/>
              </w:rPr>
              <w:t>Pour chaque vente d’un composant de niveau 1, un dossier est créé et conservé pendant deux ans après la date de la vente. Le dossier contient les renseignements et les documents suivants :</w:t>
            </w:r>
          </w:p>
          <w:p w14:paraId="2FE52E42" w14:textId="7CC17ACB" w:rsidR="00D31FBB" w:rsidRPr="00A92CED" w:rsidRDefault="00D31FBB" w:rsidP="00D15EFA">
            <w:pPr>
              <w:pStyle w:val="paragraph"/>
              <w:shd w:val="clear" w:color="auto" w:fill="FFFFFF"/>
              <w:spacing w:before="0" w:beforeAutospacing="0" w:after="0" w:afterAutospacing="0"/>
              <w:ind w:left="720"/>
              <w:rPr>
                <w:rFonts w:ascii="Calibri" w:hAnsi="Calibri" w:cs="Calibri"/>
                <w:sz w:val="22"/>
                <w:szCs w:val="22"/>
                <w:lang w:val="fr-CA"/>
              </w:rPr>
            </w:pPr>
            <w:r w:rsidRPr="00A92CED">
              <w:rPr>
                <w:rStyle w:val="lawlabel"/>
                <w:rFonts w:ascii="Calibri" w:hAnsi="Calibri" w:cs="Calibri"/>
                <w:sz w:val="22"/>
                <w:szCs w:val="22"/>
                <w:lang w:val="fr-CA"/>
              </w:rPr>
              <w:t>j)</w:t>
            </w:r>
            <w:r w:rsidRPr="00A92CED">
              <w:rPr>
                <w:rFonts w:ascii="Calibri" w:hAnsi="Calibri" w:cs="Calibri"/>
                <w:sz w:val="22"/>
                <w:szCs w:val="22"/>
                <w:lang w:val="fr-CA"/>
              </w:rPr>
              <w:t> dans le cas où le composant a été expédié, le numéro de permis de conduire du conducteur du véhicule, la date prévue pour la livraison, l’adresse de livraison, la date de réception du composant et la quantité reçue;</w:t>
            </w:r>
          </w:p>
        </w:tc>
        <w:tc>
          <w:tcPr>
            <w:tcW w:w="4097" w:type="dxa"/>
            <w:gridSpan w:val="2"/>
          </w:tcPr>
          <w:p w14:paraId="062C6B21" w14:textId="3C6989E2" w:rsidR="00D31FBB" w:rsidRPr="00A92CED" w:rsidRDefault="00D31FBB" w:rsidP="00D15EFA">
            <w:pPr>
              <w:rPr>
                <w:lang w:val="fr-CA"/>
              </w:rPr>
            </w:pPr>
            <w:r w:rsidRPr="00A92CED">
              <w:rPr>
                <w:bCs/>
                <w:lang w:val="fr-CA"/>
              </w:rPr>
              <w:t xml:space="preserve">Modifier l’alinéa 484(1)j) pour remplacer le terme </w:t>
            </w:r>
            <w:r w:rsidRPr="00A92CED">
              <w:rPr>
                <w:rFonts w:cstheme="minorHAnsi"/>
                <w:bCs/>
                <w:lang w:val="fr-CA"/>
              </w:rPr>
              <w:t>« quantité reçue </w:t>
            </w:r>
            <w:r w:rsidRPr="00A92CED">
              <w:rPr>
                <w:rFonts w:ascii="Calibri" w:hAnsi="Calibri" w:cs="Calibri"/>
                <w:bCs/>
                <w:lang w:val="fr-CA"/>
              </w:rPr>
              <w:t>» par « quantité livrée ».</w:t>
            </w:r>
          </w:p>
        </w:tc>
        <w:tc>
          <w:tcPr>
            <w:tcW w:w="3122" w:type="dxa"/>
          </w:tcPr>
          <w:p w14:paraId="71167999" w14:textId="7C35059F" w:rsidR="00D31FBB" w:rsidRPr="00A92CED" w:rsidRDefault="00D31FBB" w:rsidP="00D15EFA">
            <w:pPr>
              <w:rPr>
                <w:lang w:val="fr-CA"/>
              </w:rPr>
            </w:pPr>
            <w:r w:rsidRPr="00A92CED">
              <w:rPr>
                <w:lang w:val="fr-CA"/>
              </w:rPr>
              <w:t>Cet amendement proposé appuie l’intention de la politique de clarifier le Règlement.</w:t>
            </w:r>
          </w:p>
        </w:tc>
        <w:tc>
          <w:tcPr>
            <w:tcW w:w="3087" w:type="dxa"/>
          </w:tcPr>
          <w:p w14:paraId="2B7E2931" w14:textId="77777777" w:rsidR="00D31FBB" w:rsidRPr="00A92CED" w:rsidRDefault="00D31FBB" w:rsidP="00D15EFA">
            <w:pPr>
              <w:rPr>
                <w:lang w:val="fr-CA"/>
              </w:rPr>
            </w:pPr>
          </w:p>
        </w:tc>
      </w:tr>
      <w:tr w:rsidR="00A92CED" w:rsidRPr="00A92CED" w14:paraId="7859A8D6" w14:textId="21FEFA9E" w:rsidTr="00E10233">
        <w:tc>
          <w:tcPr>
            <w:tcW w:w="3126" w:type="dxa"/>
          </w:tcPr>
          <w:p w14:paraId="72356F3C" w14:textId="77777777" w:rsidR="00D31FBB" w:rsidRPr="00A92CED" w:rsidRDefault="00D31FBB" w:rsidP="00D15EFA">
            <w:pPr>
              <w:pStyle w:val="ListParagraph"/>
              <w:numPr>
                <w:ilvl w:val="0"/>
                <w:numId w:val="1"/>
              </w:numPr>
              <w:jc w:val="center"/>
              <w:rPr>
                <w:lang w:val="fr-CA"/>
              </w:rPr>
            </w:pPr>
          </w:p>
        </w:tc>
        <w:tc>
          <w:tcPr>
            <w:tcW w:w="3715" w:type="dxa"/>
          </w:tcPr>
          <w:p w14:paraId="06F93C66" w14:textId="1AD3417F" w:rsidR="00D31FBB" w:rsidRPr="00A92CED" w:rsidRDefault="00D31FBB" w:rsidP="00D15EFA">
            <w:pPr>
              <w:rPr>
                <w:lang w:val="fr-CA"/>
              </w:rPr>
            </w:pPr>
            <w:r w:rsidRPr="00A92CED">
              <w:rPr>
                <w:b/>
                <w:bCs/>
                <w:lang w:val="fr-CA"/>
              </w:rPr>
              <w:t xml:space="preserve">484 </w:t>
            </w:r>
            <w:r w:rsidRPr="00A92CED">
              <w:rPr>
                <w:lang w:val="fr-CA"/>
              </w:rPr>
              <w:t xml:space="preserve">(3) </w:t>
            </w:r>
            <w:r w:rsidRPr="00A92CED">
              <w:rPr>
                <w:rFonts w:ascii="Calibri" w:hAnsi="Calibri" w:cs="Calibri"/>
                <w:shd w:val="clear" w:color="auto" w:fill="FFFFFF"/>
                <w:lang w:val="fr-CA"/>
              </w:rPr>
              <w:t xml:space="preserve">Le dossier est gardé sous clé lorsqu’il n’est pas utilisé et est uniquement mis à la disposition des </w:t>
            </w:r>
            <w:r w:rsidRPr="00A92CED">
              <w:rPr>
                <w:rFonts w:ascii="Calibri" w:hAnsi="Calibri" w:cs="Calibri"/>
                <w:shd w:val="clear" w:color="auto" w:fill="FFFFFF"/>
                <w:lang w:val="fr-CA"/>
              </w:rPr>
              <w:lastRenderedPageBreak/>
              <w:t>personnes qui en ont besoin dans le cadre de leur emploi.</w:t>
            </w:r>
          </w:p>
        </w:tc>
        <w:tc>
          <w:tcPr>
            <w:tcW w:w="4097" w:type="dxa"/>
            <w:gridSpan w:val="2"/>
          </w:tcPr>
          <w:p w14:paraId="228EC23D" w14:textId="1CE0B534" w:rsidR="00D31FBB" w:rsidRPr="00A92CED" w:rsidRDefault="00D31FBB" w:rsidP="00D15EFA">
            <w:pPr>
              <w:rPr>
                <w:lang w:val="fr-CA"/>
              </w:rPr>
            </w:pPr>
            <w:r w:rsidRPr="00A92CED">
              <w:rPr>
                <w:bCs/>
                <w:lang w:val="fr-CA"/>
              </w:rPr>
              <w:lastRenderedPageBreak/>
              <w:t>Modifier le paragraphe 484(3) pour préciser que le dossier des ventes doit être inaccessible au public.</w:t>
            </w:r>
          </w:p>
        </w:tc>
        <w:tc>
          <w:tcPr>
            <w:tcW w:w="3122" w:type="dxa"/>
          </w:tcPr>
          <w:p w14:paraId="59BE65F1" w14:textId="423BC0FB" w:rsidR="00D31FBB" w:rsidRPr="00A92CED" w:rsidRDefault="00D31FBB" w:rsidP="00D15EFA">
            <w:pPr>
              <w:rPr>
                <w:lang w:val="fr-CA"/>
              </w:rPr>
            </w:pPr>
            <w:r w:rsidRPr="00A92CED">
              <w:rPr>
                <w:lang w:val="fr-CA"/>
              </w:rPr>
              <w:t xml:space="preserve">L’amendement proposé vise à clarifier l’intention de la politique et à harmoniser cette </w:t>
            </w:r>
            <w:r w:rsidRPr="00A92CED">
              <w:rPr>
                <w:lang w:val="fr-CA"/>
              </w:rPr>
              <w:lastRenderedPageBreak/>
              <w:t>exigence avec les autres dispositions relatives à la tenue de dossiers prévues dans le Règlement, dont aucune n’exige qu’un dossier soit gardé sous clé.</w:t>
            </w:r>
          </w:p>
        </w:tc>
        <w:tc>
          <w:tcPr>
            <w:tcW w:w="3087" w:type="dxa"/>
          </w:tcPr>
          <w:p w14:paraId="4DE1539E" w14:textId="77777777" w:rsidR="00D31FBB" w:rsidRPr="00A92CED" w:rsidRDefault="00D31FBB" w:rsidP="00D15EFA">
            <w:pPr>
              <w:rPr>
                <w:lang w:val="fr-CA"/>
              </w:rPr>
            </w:pPr>
          </w:p>
        </w:tc>
      </w:tr>
      <w:tr w:rsidR="00A92CED" w:rsidRPr="00A92CED" w14:paraId="2A63DB06" w14:textId="5851B488" w:rsidTr="00E10233">
        <w:tc>
          <w:tcPr>
            <w:tcW w:w="3126" w:type="dxa"/>
          </w:tcPr>
          <w:p w14:paraId="22AF153A" w14:textId="77777777" w:rsidR="00D31FBB" w:rsidRPr="00A92CED" w:rsidRDefault="00D31FBB" w:rsidP="00D15EFA">
            <w:pPr>
              <w:pStyle w:val="ListParagraph"/>
              <w:numPr>
                <w:ilvl w:val="0"/>
                <w:numId w:val="1"/>
              </w:numPr>
              <w:jc w:val="center"/>
              <w:rPr>
                <w:lang w:val="fr-CA"/>
              </w:rPr>
            </w:pPr>
          </w:p>
        </w:tc>
        <w:tc>
          <w:tcPr>
            <w:tcW w:w="3715" w:type="dxa"/>
          </w:tcPr>
          <w:p w14:paraId="6645436C" w14:textId="5962FF95" w:rsidR="00D31FBB" w:rsidRPr="00A92CED" w:rsidRDefault="00D31FBB" w:rsidP="00D15EFA">
            <w:pPr>
              <w:rPr>
                <w:rFonts w:ascii="Calibri" w:hAnsi="Calibri" w:cs="Calibri"/>
                <w:shd w:val="clear" w:color="auto" w:fill="FFFFFF"/>
                <w:lang w:val="fr-CA"/>
              </w:rPr>
            </w:pPr>
            <w:r w:rsidRPr="00A92CED">
              <w:rPr>
                <w:rFonts w:ascii="Calibri" w:hAnsi="Calibri" w:cs="Calibri"/>
                <w:b/>
                <w:bCs/>
                <w:lang w:val="fr-CA"/>
              </w:rPr>
              <w:t xml:space="preserve">485 </w:t>
            </w:r>
            <w:r w:rsidRPr="00A92CED">
              <w:rPr>
                <w:rFonts w:ascii="Calibri" w:hAnsi="Calibri" w:cs="Calibri"/>
                <w:lang w:val="fr-CA"/>
              </w:rPr>
              <w:t xml:space="preserve">(1) </w:t>
            </w:r>
            <w:r w:rsidRPr="00A92CED">
              <w:rPr>
                <w:rFonts w:ascii="Calibri" w:hAnsi="Calibri" w:cs="Calibri"/>
                <w:shd w:val="clear" w:color="auto" w:fill="FFFFFF"/>
                <w:lang w:val="fr-CA"/>
              </w:rPr>
              <w:t>Lorsque plus de 1 kg d’un composant de niveau 1 est expédié par véhicule :</w:t>
            </w:r>
          </w:p>
          <w:p w14:paraId="31CE12BC" w14:textId="22823098" w:rsidR="00D31FBB" w:rsidRPr="00A92CED" w:rsidRDefault="00D31FBB" w:rsidP="00D15EFA">
            <w:pPr>
              <w:ind w:left="720"/>
              <w:rPr>
                <w:lang w:val="fr-CA"/>
              </w:rPr>
            </w:pPr>
            <w:r w:rsidRPr="00A92CED">
              <w:rPr>
                <w:rFonts w:ascii="Calibri" w:hAnsi="Calibri" w:cs="Calibri"/>
                <w:shd w:val="clear" w:color="auto" w:fill="FFFFFF"/>
                <w:lang w:val="fr-CA"/>
              </w:rPr>
              <w:t>a) les points d’accès à la partie du véhicule contenant le composant sont verrouillés ou scellés à l’aide d’un câble de sûreté immédiatement après le chargement du composant;</w:t>
            </w:r>
          </w:p>
        </w:tc>
        <w:tc>
          <w:tcPr>
            <w:tcW w:w="4097" w:type="dxa"/>
            <w:gridSpan w:val="2"/>
          </w:tcPr>
          <w:p w14:paraId="49B186C5" w14:textId="3DE15AC0" w:rsidR="00D31FBB" w:rsidRPr="00A92CED" w:rsidRDefault="00D31FBB" w:rsidP="00D15EFA">
            <w:pPr>
              <w:rPr>
                <w:lang w:val="fr-CA"/>
              </w:rPr>
            </w:pPr>
            <w:r w:rsidRPr="00A92CED">
              <w:rPr>
                <w:bCs/>
                <w:lang w:val="fr-CA"/>
              </w:rPr>
              <w:t>Modifier l’alinéa 485(1)a) pour préciser que l’exigence stipulant que les points d’accès à la partie du véhicule contenant le composant doivent être verrouillés ou scellés à l’aide d’un câble de sûreté immédiatement après le chargement du composant ne s’applique que lorsque le véhicule n’est pas surveillé.</w:t>
            </w:r>
          </w:p>
        </w:tc>
        <w:tc>
          <w:tcPr>
            <w:tcW w:w="3122" w:type="dxa"/>
          </w:tcPr>
          <w:p w14:paraId="3A8C108E" w14:textId="6F78963A" w:rsidR="00D31FBB" w:rsidRPr="00A92CED" w:rsidRDefault="00D31FBB" w:rsidP="00D15EFA">
            <w:pPr>
              <w:rPr>
                <w:lang w:val="fr-CA"/>
              </w:rPr>
            </w:pPr>
            <w:r w:rsidRPr="00A92CED">
              <w:rPr>
                <w:lang w:val="fr-CA"/>
              </w:rPr>
              <w:t>Cet amendement proposé appuie l’intention de la politique de moderniser le Règlement afin qu’il reflète les pratiques actuelles et pour faire cadrer cette disposition avec les exigences du Règlement qui permettent de laisser les explosifs déverrouillés lorsqu’ils sont surveillés.</w:t>
            </w:r>
          </w:p>
        </w:tc>
        <w:tc>
          <w:tcPr>
            <w:tcW w:w="3087" w:type="dxa"/>
          </w:tcPr>
          <w:p w14:paraId="5187A0F8" w14:textId="77777777" w:rsidR="00D31FBB" w:rsidRPr="00A92CED" w:rsidRDefault="00D31FBB" w:rsidP="00D15EFA">
            <w:pPr>
              <w:rPr>
                <w:lang w:val="fr-CA"/>
              </w:rPr>
            </w:pPr>
          </w:p>
        </w:tc>
      </w:tr>
      <w:tr w:rsidR="00A92CED" w:rsidRPr="00A92CED" w14:paraId="36D45DE4" w14:textId="5B372295" w:rsidTr="00E10233">
        <w:tc>
          <w:tcPr>
            <w:tcW w:w="3126" w:type="dxa"/>
          </w:tcPr>
          <w:p w14:paraId="53D63AF0" w14:textId="77777777" w:rsidR="00D31FBB" w:rsidRPr="00A92CED" w:rsidRDefault="00D31FBB" w:rsidP="00D15EFA">
            <w:pPr>
              <w:pStyle w:val="ListParagraph"/>
              <w:numPr>
                <w:ilvl w:val="0"/>
                <w:numId w:val="1"/>
              </w:numPr>
              <w:jc w:val="center"/>
              <w:rPr>
                <w:lang w:val="fr-CA"/>
              </w:rPr>
            </w:pPr>
          </w:p>
        </w:tc>
        <w:tc>
          <w:tcPr>
            <w:tcW w:w="3715" w:type="dxa"/>
          </w:tcPr>
          <w:p w14:paraId="5C9FE725" w14:textId="29D73689" w:rsidR="00D31FBB" w:rsidRPr="00A92CED" w:rsidRDefault="00D31FBB" w:rsidP="00D15EFA">
            <w:pPr>
              <w:rPr>
                <w:lang w:val="fr-CA"/>
              </w:rPr>
            </w:pPr>
            <w:r w:rsidRPr="00A92CED">
              <w:rPr>
                <w:b/>
                <w:bCs/>
                <w:lang w:val="fr-CA"/>
              </w:rPr>
              <w:t xml:space="preserve">488 </w:t>
            </w:r>
            <w:r w:rsidRPr="00A92CED">
              <w:rPr>
                <w:lang w:val="fr-CA"/>
              </w:rPr>
              <w:t>(1</w:t>
            </w:r>
            <w:r w:rsidRPr="00A92CED">
              <w:rPr>
                <w:rFonts w:ascii="Calibri" w:hAnsi="Calibri" w:cs="Calibri"/>
                <w:lang w:val="fr-CA"/>
              </w:rPr>
              <w:t xml:space="preserve">) </w:t>
            </w:r>
            <w:r w:rsidRPr="00A92CED">
              <w:rPr>
                <w:rFonts w:ascii="Calibri" w:hAnsi="Calibri" w:cs="Calibri"/>
                <w:shd w:val="clear" w:color="auto" w:fill="FFFFFF"/>
                <w:lang w:val="fr-CA"/>
              </w:rPr>
              <w:t xml:space="preserve">L’inspecteur en chef des explosifs peut suspendre l’inscription du vendeur de composant ou du vendeur de produit qui omet de se conformer à la </w:t>
            </w:r>
            <w:r w:rsidRPr="00A92CED">
              <w:rPr>
                <w:rFonts w:ascii="Calibri" w:hAnsi="Calibri" w:cs="Calibri"/>
                <w:i/>
                <w:iCs/>
                <w:shd w:val="clear" w:color="auto" w:fill="FFFFFF"/>
                <w:lang w:val="fr-CA"/>
              </w:rPr>
              <w:t>Loi sur les explosifs</w:t>
            </w:r>
            <w:r w:rsidRPr="00A92CED">
              <w:rPr>
                <w:rFonts w:ascii="Calibri" w:hAnsi="Calibri" w:cs="Calibri"/>
                <w:shd w:val="clear" w:color="auto" w:fill="FFFFFF"/>
                <w:lang w:val="fr-CA"/>
              </w:rPr>
              <w:t> ou au présent règlement. La suspension s’applique tant que le vendeur de composant ou le vendeur de produit ne s’est pas conformé.</w:t>
            </w:r>
          </w:p>
        </w:tc>
        <w:tc>
          <w:tcPr>
            <w:tcW w:w="4097" w:type="dxa"/>
            <w:gridSpan w:val="2"/>
          </w:tcPr>
          <w:p w14:paraId="7D736E19" w14:textId="374E32D9" w:rsidR="00D31FBB" w:rsidRPr="00A92CED" w:rsidRDefault="00D31FBB" w:rsidP="00D15EFA">
            <w:pPr>
              <w:rPr>
                <w:lang w:val="fr-CA"/>
              </w:rPr>
            </w:pPr>
            <w:r w:rsidRPr="00A92CED">
              <w:rPr>
                <w:bCs/>
                <w:lang w:val="fr-CA"/>
              </w:rPr>
              <w:t xml:space="preserve">Modifier la première phrase du paragraphe 488(1) pour supprimer la mention de la liste de vendeurs de composants ou de la liste de vendeurs de produits (dans la version anglaise seulement) et pour préciser que l’inspecteur en chef des explosifs peut suspendre ou annuler l’inscription du vendeur de composant ou du vendeur de produit qui omet de se conformer à la </w:t>
            </w:r>
            <w:r w:rsidRPr="00A92CED">
              <w:rPr>
                <w:rFonts w:ascii="Calibri" w:hAnsi="Calibri" w:cs="Calibri"/>
                <w:i/>
                <w:iCs/>
                <w:lang w:val="fr-CA"/>
              </w:rPr>
              <w:t xml:space="preserve">Loi sur les explosifs </w:t>
            </w:r>
            <w:r w:rsidRPr="00A92CED">
              <w:rPr>
                <w:rFonts w:ascii="Calibri" w:hAnsi="Calibri" w:cs="Calibri"/>
                <w:lang w:val="fr-CA"/>
              </w:rPr>
              <w:t>ou au présent règlement.</w:t>
            </w:r>
          </w:p>
        </w:tc>
        <w:tc>
          <w:tcPr>
            <w:tcW w:w="3122" w:type="dxa"/>
          </w:tcPr>
          <w:p w14:paraId="5053B85B" w14:textId="4CDAF47F" w:rsidR="00D31FBB" w:rsidRPr="00A92CED" w:rsidRDefault="00D31FBB" w:rsidP="00D15EFA">
            <w:pPr>
              <w:rPr>
                <w:lang w:val="fr-CA"/>
              </w:rPr>
            </w:pPr>
            <w:r w:rsidRPr="00A92CED">
              <w:rPr>
                <w:lang w:val="fr-CA"/>
              </w:rPr>
              <w:t xml:space="preserve">L’amendement proposé appuie l’intention de la politique d’actualiser la terminologie utilisée dans le Règlement afin qu’elle reflète les pratiques actuelles. Il n’existe pas de liste de vendeurs de composants ou de vendeurs de produits. RNCan utilise plutôt le terme </w:t>
            </w:r>
            <w:r w:rsidRPr="00A92CED">
              <w:rPr>
                <w:rFonts w:cstheme="minorHAnsi"/>
                <w:lang w:val="fr-CA"/>
              </w:rPr>
              <w:t>« inscription </w:t>
            </w:r>
            <w:r w:rsidRPr="00A92CED">
              <w:rPr>
                <w:rFonts w:ascii="Calibri" w:hAnsi="Calibri" w:cs="Calibri"/>
                <w:lang w:val="fr-CA"/>
              </w:rPr>
              <w:t>».</w:t>
            </w:r>
          </w:p>
        </w:tc>
        <w:tc>
          <w:tcPr>
            <w:tcW w:w="3087" w:type="dxa"/>
          </w:tcPr>
          <w:p w14:paraId="6D369BD2" w14:textId="77777777" w:rsidR="00D31FBB" w:rsidRPr="00A92CED" w:rsidRDefault="00D31FBB" w:rsidP="00D15EFA">
            <w:pPr>
              <w:rPr>
                <w:lang w:val="fr-CA"/>
              </w:rPr>
            </w:pPr>
          </w:p>
        </w:tc>
      </w:tr>
      <w:tr w:rsidR="00A92CED" w:rsidRPr="00A92CED" w14:paraId="5D9E3207" w14:textId="6304C47E" w:rsidTr="00E10233">
        <w:tc>
          <w:tcPr>
            <w:tcW w:w="3126" w:type="dxa"/>
          </w:tcPr>
          <w:p w14:paraId="188AD2B6" w14:textId="77777777" w:rsidR="00D31FBB" w:rsidRPr="00A92CED" w:rsidRDefault="00D31FBB" w:rsidP="00D15EFA">
            <w:pPr>
              <w:pStyle w:val="ListParagraph"/>
              <w:numPr>
                <w:ilvl w:val="0"/>
                <w:numId w:val="1"/>
              </w:numPr>
              <w:jc w:val="center"/>
              <w:rPr>
                <w:lang w:val="fr-CA"/>
              </w:rPr>
            </w:pPr>
          </w:p>
        </w:tc>
        <w:tc>
          <w:tcPr>
            <w:tcW w:w="3715" w:type="dxa"/>
          </w:tcPr>
          <w:p w14:paraId="54EADD44" w14:textId="41D37407" w:rsidR="00D31FBB" w:rsidRPr="00A92CED" w:rsidRDefault="00D31FBB" w:rsidP="00D15EFA">
            <w:pPr>
              <w:pStyle w:val="subsection"/>
              <w:shd w:val="clear" w:color="auto" w:fill="FFFFFF"/>
              <w:spacing w:before="0" w:beforeAutospacing="0" w:after="0" w:afterAutospacing="0"/>
              <w:rPr>
                <w:rFonts w:ascii="Calibri" w:hAnsi="Calibri" w:cs="Calibri"/>
                <w:sz w:val="22"/>
                <w:szCs w:val="22"/>
                <w:lang w:val="fr-CA"/>
              </w:rPr>
            </w:pPr>
            <w:r w:rsidRPr="00A92CED">
              <w:rPr>
                <w:rFonts w:ascii="Calibri" w:hAnsi="Calibri" w:cs="Calibri"/>
                <w:b/>
                <w:bCs/>
                <w:sz w:val="22"/>
                <w:szCs w:val="22"/>
                <w:lang w:val="fr-CA"/>
              </w:rPr>
              <w:t xml:space="preserve">494 </w:t>
            </w:r>
            <w:r w:rsidRPr="00A92CED">
              <w:rPr>
                <w:rFonts w:ascii="Calibri" w:hAnsi="Calibri" w:cs="Calibri"/>
                <w:sz w:val="22"/>
                <w:szCs w:val="22"/>
                <w:lang w:val="fr-CA"/>
              </w:rPr>
              <w:t>(1) Toute personne peut vendre un composant de niveau 2 pour utilisation dans un laboratoire faisant partie de l’une ou l’autre des entités ci-après ou y étant affilié :</w:t>
            </w:r>
          </w:p>
          <w:p w14:paraId="513753C4" w14:textId="56272C95" w:rsidR="00D31FBB" w:rsidRPr="00A92CED" w:rsidRDefault="00D31FBB" w:rsidP="00D15EFA">
            <w:pPr>
              <w:pStyle w:val="paragraph"/>
              <w:shd w:val="clear" w:color="auto" w:fill="FFFFFF"/>
              <w:spacing w:before="0" w:beforeAutospacing="0" w:after="0" w:afterAutospacing="0"/>
              <w:ind w:left="720"/>
              <w:rPr>
                <w:rFonts w:ascii="Calibri" w:hAnsi="Calibri" w:cs="Calibri"/>
                <w:sz w:val="22"/>
                <w:szCs w:val="22"/>
                <w:lang w:val="fr-CA"/>
              </w:rPr>
            </w:pPr>
            <w:r w:rsidRPr="00A92CED">
              <w:rPr>
                <w:rStyle w:val="lawlabel"/>
                <w:rFonts w:ascii="Calibri" w:hAnsi="Calibri" w:cs="Calibri"/>
                <w:sz w:val="22"/>
                <w:szCs w:val="22"/>
                <w:lang w:val="fr-CA"/>
              </w:rPr>
              <w:lastRenderedPageBreak/>
              <w:t>a)</w:t>
            </w:r>
            <w:r w:rsidRPr="00A92CED">
              <w:rPr>
                <w:rFonts w:ascii="Calibri" w:hAnsi="Calibri" w:cs="Calibri"/>
                <w:sz w:val="22"/>
                <w:szCs w:val="22"/>
                <w:lang w:val="fr-CA"/>
              </w:rPr>
              <w:t> un établissement d’enseignement postsecondaire reconnu par une province;</w:t>
            </w:r>
          </w:p>
          <w:p w14:paraId="52956CC7" w14:textId="77777777" w:rsidR="00D31FBB" w:rsidRPr="00A92CED" w:rsidRDefault="00D31FBB" w:rsidP="00D15EFA">
            <w:pPr>
              <w:pStyle w:val="paragraph"/>
              <w:shd w:val="clear" w:color="auto" w:fill="FFFFFF"/>
              <w:spacing w:before="0" w:beforeAutospacing="0" w:after="0" w:afterAutospacing="0"/>
              <w:ind w:left="720"/>
              <w:rPr>
                <w:rFonts w:ascii="Calibri" w:hAnsi="Calibri" w:cs="Calibri"/>
                <w:sz w:val="22"/>
                <w:szCs w:val="22"/>
                <w:lang w:val="fr-CA"/>
              </w:rPr>
            </w:pPr>
            <w:r w:rsidRPr="00A92CED">
              <w:rPr>
                <w:rStyle w:val="lawlabel"/>
                <w:rFonts w:ascii="Calibri" w:hAnsi="Calibri" w:cs="Calibri"/>
                <w:sz w:val="22"/>
                <w:szCs w:val="22"/>
                <w:lang w:val="fr-CA"/>
              </w:rPr>
              <w:t>b)</w:t>
            </w:r>
            <w:r w:rsidRPr="00A92CED">
              <w:rPr>
                <w:rFonts w:ascii="Calibri" w:hAnsi="Calibri" w:cs="Calibri"/>
                <w:sz w:val="22"/>
                <w:szCs w:val="22"/>
                <w:lang w:val="fr-CA"/>
              </w:rPr>
              <w:t> un hôpital ou une clinique de santé;</w:t>
            </w:r>
          </w:p>
          <w:p w14:paraId="20C2453E" w14:textId="180C70EB" w:rsidR="00D31FBB" w:rsidRPr="00A92CED" w:rsidRDefault="00D31FBB" w:rsidP="00D15EFA">
            <w:pPr>
              <w:pStyle w:val="paragraph"/>
              <w:shd w:val="clear" w:color="auto" w:fill="FFFFFF"/>
              <w:spacing w:before="0" w:beforeAutospacing="0" w:after="0" w:afterAutospacing="0"/>
              <w:ind w:left="720"/>
              <w:rPr>
                <w:rFonts w:ascii="Helvetica" w:hAnsi="Helvetica" w:cs="Helvetica"/>
                <w:lang w:val="fr-CA"/>
              </w:rPr>
            </w:pPr>
            <w:r w:rsidRPr="00A92CED">
              <w:rPr>
                <w:rStyle w:val="lawlabel"/>
                <w:rFonts w:ascii="Calibri" w:hAnsi="Calibri" w:cs="Calibri"/>
                <w:sz w:val="22"/>
                <w:szCs w:val="22"/>
                <w:lang w:val="fr-CA"/>
              </w:rPr>
              <w:t>c)</w:t>
            </w:r>
            <w:r w:rsidRPr="00A92CED">
              <w:rPr>
                <w:rFonts w:ascii="Calibri" w:hAnsi="Calibri" w:cs="Calibri"/>
                <w:sz w:val="22"/>
                <w:szCs w:val="22"/>
                <w:lang w:val="fr-CA"/>
              </w:rPr>
              <w:t> un gouvernement ou un organisme d’application de la loi.</w:t>
            </w:r>
          </w:p>
        </w:tc>
        <w:tc>
          <w:tcPr>
            <w:tcW w:w="4097" w:type="dxa"/>
            <w:gridSpan w:val="2"/>
          </w:tcPr>
          <w:p w14:paraId="6F5F9863" w14:textId="276D144D" w:rsidR="00D31FBB" w:rsidRPr="00A92CED" w:rsidRDefault="00D31FBB" w:rsidP="00D15EFA">
            <w:pPr>
              <w:autoSpaceDE w:val="0"/>
              <w:autoSpaceDN w:val="0"/>
              <w:adjustRightInd w:val="0"/>
              <w:rPr>
                <w:rFonts w:ascii="Calibri" w:hAnsi="Calibri" w:cs="Calibri"/>
                <w:lang w:val="fr-CA"/>
              </w:rPr>
            </w:pPr>
            <w:r w:rsidRPr="00A92CED">
              <w:rPr>
                <w:bCs/>
                <w:lang w:val="fr-CA"/>
              </w:rPr>
              <w:lastRenderedPageBreak/>
              <w:t xml:space="preserve">Modifier le paragraphe 494(1) pour préciser que le Règlement ne s’applique pas à la vente de composants de niveau 2 pour utilisation dans un laboratoire faisant partie </w:t>
            </w:r>
            <w:r w:rsidRPr="00A92CED">
              <w:rPr>
                <w:rFonts w:ascii="Calibri" w:hAnsi="Calibri" w:cs="Calibri"/>
                <w:lang w:val="fr-CA"/>
              </w:rPr>
              <w:t xml:space="preserve">de l’une ou l’autre des entités ci-après ou y étant affilié : </w:t>
            </w:r>
          </w:p>
          <w:p w14:paraId="4165FD02" w14:textId="75C75A69" w:rsidR="00D31FBB" w:rsidRPr="00A92CED" w:rsidRDefault="00D31FBB" w:rsidP="00D15EFA">
            <w:pPr>
              <w:pStyle w:val="ListParagraph"/>
              <w:numPr>
                <w:ilvl w:val="0"/>
                <w:numId w:val="30"/>
              </w:numPr>
              <w:autoSpaceDE w:val="0"/>
              <w:autoSpaceDN w:val="0"/>
              <w:adjustRightInd w:val="0"/>
              <w:rPr>
                <w:rFonts w:ascii="Calibri" w:hAnsi="Calibri" w:cs="Calibri"/>
                <w:lang w:val="fr-CA"/>
              </w:rPr>
            </w:pPr>
            <w:r w:rsidRPr="00A92CED">
              <w:rPr>
                <w:rFonts w:ascii="Calibri" w:hAnsi="Calibri" w:cs="Calibri"/>
                <w:lang w:val="fr-CA"/>
              </w:rPr>
              <w:lastRenderedPageBreak/>
              <w:t>un établissement d’enseignement postsecondaire reconnu par une province;</w:t>
            </w:r>
          </w:p>
          <w:p w14:paraId="00A81710" w14:textId="5544060A" w:rsidR="00D31FBB" w:rsidRPr="00A92CED" w:rsidRDefault="00D31FBB" w:rsidP="00D15EFA">
            <w:pPr>
              <w:pStyle w:val="ListParagraph"/>
              <w:numPr>
                <w:ilvl w:val="0"/>
                <w:numId w:val="30"/>
              </w:numPr>
              <w:autoSpaceDE w:val="0"/>
              <w:autoSpaceDN w:val="0"/>
              <w:adjustRightInd w:val="0"/>
              <w:rPr>
                <w:rFonts w:ascii="Calibri" w:hAnsi="Calibri" w:cs="Calibri"/>
                <w:lang w:val="fr-CA"/>
              </w:rPr>
            </w:pPr>
            <w:r w:rsidRPr="00A92CED">
              <w:rPr>
                <w:rFonts w:ascii="Calibri" w:hAnsi="Calibri" w:cs="Calibri"/>
                <w:lang w:val="fr-CA"/>
              </w:rPr>
              <w:t>un hôpital ou une clinique de santé;</w:t>
            </w:r>
          </w:p>
          <w:p w14:paraId="57E72D0B" w14:textId="03817411" w:rsidR="00D31FBB" w:rsidRPr="00A92CED" w:rsidRDefault="00D31FBB" w:rsidP="00D15EFA">
            <w:pPr>
              <w:pStyle w:val="ListParagraph"/>
              <w:numPr>
                <w:ilvl w:val="0"/>
                <w:numId w:val="30"/>
              </w:numPr>
              <w:autoSpaceDE w:val="0"/>
              <w:autoSpaceDN w:val="0"/>
              <w:adjustRightInd w:val="0"/>
              <w:rPr>
                <w:lang w:val="fr-CA"/>
              </w:rPr>
            </w:pPr>
            <w:r w:rsidRPr="00A92CED">
              <w:rPr>
                <w:rFonts w:ascii="Calibri" w:hAnsi="Calibri" w:cs="Calibri"/>
                <w:lang w:val="fr-CA"/>
              </w:rPr>
              <w:t>un gouvernement ou un organisme d’application de la loi.</w:t>
            </w:r>
          </w:p>
        </w:tc>
        <w:tc>
          <w:tcPr>
            <w:tcW w:w="3122" w:type="dxa"/>
          </w:tcPr>
          <w:p w14:paraId="5AB7F0D0" w14:textId="12587C92" w:rsidR="00D31FBB" w:rsidRPr="00A92CED" w:rsidRDefault="00D31FBB" w:rsidP="00D15EFA">
            <w:pPr>
              <w:rPr>
                <w:lang w:val="fr-CA"/>
              </w:rPr>
            </w:pPr>
            <w:r w:rsidRPr="00A92CED">
              <w:rPr>
                <w:lang w:val="fr-CA"/>
              </w:rPr>
              <w:lastRenderedPageBreak/>
              <w:t xml:space="preserve">L’amendement proposé rétablirait l’exigence antérieure prévue au paragraphe 457(1), qui exemptait certains établissements du Règlement en ce qui concerne la vente de </w:t>
            </w:r>
            <w:r w:rsidRPr="00A92CED">
              <w:rPr>
                <w:lang w:val="fr-CA"/>
              </w:rPr>
              <w:lastRenderedPageBreak/>
              <w:t>composants d’explosif limités. Pour cet amendement proposé, l’intention de la politique est d’éviter que les personnes travaillant pour l’un de ces établissements n’aient à présenter leur pièce d’identité personnelle pour acheter des composants d’explosif limités dans le cadre de leur travail.</w:t>
            </w:r>
          </w:p>
        </w:tc>
        <w:tc>
          <w:tcPr>
            <w:tcW w:w="3087" w:type="dxa"/>
          </w:tcPr>
          <w:p w14:paraId="48F303B1" w14:textId="77777777" w:rsidR="00D31FBB" w:rsidRPr="00A92CED" w:rsidRDefault="00D31FBB" w:rsidP="00D15EFA">
            <w:pPr>
              <w:rPr>
                <w:lang w:val="fr-CA"/>
              </w:rPr>
            </w:pPr>
          </w:p>
        </w:tc>
      </w:tr>
      <w:tr w:rsidR="00A92CED" w:rsidRPr="00A92CED" w14:paraId="615951CE" w14:textId="2DE1890D" w:rsidTr="00E10233">
        <w:tc>
          <w:tcPr>
            <w:tcW w:w="3126" w:type="dxa"/>
          </w:tcPr>
          <w:p w14:paraId="0B87285B" w14:textId="77777777" w:rsidR="00D31FBB" w:rsidRPr="00A92CED" w:rsidRDefault="00D31FBB" w:rsidP="00D15EFA">
            <w:pPr>
              <w:pStyle w:val="ListParagraph"/>
              <w:numPr>
                <w:ilvl w:val="0"/>
                <w:numId w:val="1"/>
              </w:numPr>
              <w:jc w:val="center"/>
              <w:rPr>
                <w:lang w:val="fr-CA"/>
              </w:rPr>
            </w:pPr>
          </w:p>
        </w:tc>
        <w:tc>
          <w:tcPr>
            <w:tcW w:w="3715" w:type="dxa"/>
          </w:tcPr>
          <w:p w14:paraId="7322B860" w14:textId="53E5D9C6" w:rsidR="00D31FBB" w:rsidRPr="00A92CED" w:rsidRDefault="00D31FBB" w:rsidP="00D15EFA">
            <w:pPr>
              <w:rPr>
                <w:rFonts w:ascii="Calibri" w:hAnsi="Calibri" w:cs="Calibri"/>
                <w:shd w:val="clear" w:color="auto" w:fill="FFFFFF"/>
                <w:lang w:val="fr-CA"/>
              </w:rPr>
            </w:pPr>
            <w:r w:rsidRPr="00A92CED">
              <w:rPr>
                <w:rFonts w:ascii="Calibri" w:hAnsi="Calibri" w:cs="Calibri"/>
                <w:b/>
                <w:bCs/>
                <w:lang w:val="fr-CA"/>
              </w:rPr>
              <w:t xml:space="preserve">499 </w:t>
            </w:r>
            <w:r w:rsidRPr="00A92CED">
              <w:rPr>
                <w:rFonts w:ascii="Calibri" w:hAnsi="Calibri" w:cs="Calibri"/>
                <w:shd w:val="clear" w:color="auto" w:fill="FFFFFF"/>
                <w:lang w:val="fr-CA"/>
              </w:rPr>
              <w:t>Le vendeur de produit remplit, signe et fait parvenir à l’inspecteur en chef des explosifs le formulaire de demande d’inscription fourni par le ministère des Ressources naturelles. La demande contient les renseignements suivants :</w:t>
            </w:r>
          </w:p>
          <w:p w14:paraId="5B23F250" w14:textId="3C348ED2" w:rsidR="00D31FBB" w:rsidRPr="00A92CED" w:rsidRDefault="00D31FBB" w:rsidP="00D15EFA">
            <w:pPr>
              <w:pStyle w:val="paragraph"/>
              <w:shd w:val="clear" w:color="auto" w:fill="FFFFFF"/>
              <w:spacing w:before="0" w:beforeAutospacing="0" w:after="0" w:afterAutospacing="0"/>
              <w:ind w:left="720"/>
              <w:rPr>
                <w:rFonts w:ascii="Calibri" w:hAnsi="Calibri" w:cs="Calibri"/>
                <w:sz w:val="22"/>
                <w:szCs w:val="22"/>
                <w:lang w:val="fr-CA"/>
              </w:rPr>
            </w:pPr>
            <w:r w:rsidRPr="00A92CED">
              <w:rPr>
                <w:rStyle w:val="lawlabel"/>
                <w:rFonts w:ascii="Calibri" w:hAnsi="Calibri" w:cs="Calibri"/>
                <w:sz w:val="22"/>
                <w:szCs w:val="22"/>
                <w:lang w:val="fr-CA"/>
              </w:rPr>
              <w:t>b)</w:t>
            </w:r>
            <w:r w:rsidRPr="00A92CED">
              <w:rPr>
                <w:rFonts w:ascii="Calibri" w:hAnsi="Calibri" w:cs="Calibri"/>
                <w:sz w:val="22"/>
                <w:szCs w:val="22"/>
                <w:lang w:val="fr-CA"/>
              </w:rPr>
              <w:t> le nom des produits qui seront fabriqués en utilisant un composant de niveau 2 et qui seront vendus;</w:t>
            </w:r>
          </w:p>
        </w:tc>
        <w:tc>
          <w:tcPr>
            <w:tcW w:w="4097" w:type="dxa"/>
            <w:gridSpan w:val="2"/>
          </w:tcPr>
          <w:p w14:paraId="0D13DD4E" w14:textId="7E0B4EB3" w:rsidR="00D31FBB" w:rsidRPr="00A92CED" w:rsidRDefault="00D31FBB" w:rsidP="00D15EFA">
            <w:pPr>
              <w:rPr>
                <w:lang w:val="fr-CA"/>
              </w:rPr>
            </w:pPr>
            <w:r w:rsidRPr="00A92CED">
              <w:rPr>
                <w:bCs/>
                <w:lang w:val="fr-CA"/>
              </w:rPr>
              <w:t>Modifier l’article 499 pour supprimer l’alinéa b).</w:t>
            </w:r>
          </w:p>
        </w:tc>
        <w:tc>
          <w:tcPr>
            <w:tcW w:w="3122" w:type="dxa"/>
          </w:tcPr>
          <w:p w14:paraId="4E1D9E93" w14:textId="2E2E57BD" w:rsidR="00D31FBB" w:rsidRPr="00A92CED" w:rsidRDefault="00D31FBB" w:rsidP="00D15EFA">
            <w:pPr>
              <w:rPr>
                <w:lang w:val="fr-CA"/>
              </w:rPr>
            </w:pPr>
            <w:r w:rsidRPr="00A92CED">
              <w:rPr>
                <w:lang w:val="fr-CA"/>
              </w:rPr>
              <w:t>Cet amendement proposé appuie l’intention de la politique de réduire les dispositions du Règlement qui alourdissent inutilement le fardeau administratif. Il n’est pas utile pour RNCan de connaître le nom des produits qui seront fabriqués en utilisant des composants de niveau 2, car les produits eux-mêmes ne sont pas des composants de niveau 2.</w:t>
            </w:r>
          </w:p>
        </w:tc>
        <w:tc>
          <w:tcPr>
            <w:tcW w:w="3087" w:type="dxa"/>
          </w:tcPr>
          <w:p w14:paraId="405372D7" w14:textId="77777777" w:rsidR="00D31FBB" w:rsidRPr="00A92CED" w:rsidRDefault="00D31FBB" w:rsidP="00D15EFA">
            <w:pPr>
              <w:rPr>
                <w:lang w:val="fr-CA"/>
              </w:rPr>
            </w:pPr>
          </w:p>
        </w:tc>
      </w:tr>
      <w:tr w:rsidR="00A92CED" w:rsidRPr="00A92CED" w14:paraId="17CB4B37" w14:textId="5C698802" w:rsidTr="00E10233">
        <w:tc>
          <w:tcPr>
            <w:tcW w:w="3126" w:type="dxa"/>
          </w:tcPr>
          <w:p w14:paraId="3AA434F6" w14:textId="77777777" w:rsidR="00D31FBB" w:rsidRPr="00A92CED" w:rsidRDefault="00D31FBB" w:rsidP="00D15EFA">
            <w:pPr>
              <w:pStyle w:val="ListParagraph"/>
              <w:numPr>
                <w:ilvl w:val="0"/>
                <w:numId w:val="1"/>
              </w:numPr>
              <w:jc w:val="center"/>
              <w:rPr>
                <w:lang w:val="fr-CA"/>
              </w:rPr>
            </w:pPr>
          </w:p>
        </w:tc>
        <w:tc>
          <w:tcPr>
            <w:tcW w:w="3715" w:type="dxa"/>
          </w:tcPr>
          <w:p w14:paraId="48909523" w14:textId="035FDCB1" w:rsidR="00D31FBB" w:rsidRPr="00A92CED" w:rsidRDefault="00D31FBB" w:rsidP="00D15EFA">
            <w:pPr>
              <w:rPr>
                <w:rFonts w:ascii="Calibri" w:hAnsi="Calibri" w:cs="Calibri"/>
                <w:lang w:val="fr-CA"/>
              </w:rPr>
            </w:pPr>
            <w:r w:rsidRPr="00A92CED">
              <w:rPr>
                <w:rFonts w:ascii="Calibri" w:hAnsi="Calibri" w:cs="Calibri"/>
                <w:b/>
                <w:bCs/>
                <w:lang w:val="fr-CA"/>
              </w:rPr>
              <w:t xml:space="preserve">500 </w:t>
            </w:r>
            <w:r w:rsidRPr="00A92CED">
              <w:rPr>
                <w:rFonts w:ascii="Calibri" w:hAnsi="Calibri" w:cs="Calibri"/>
                <w:lang w:val="fr-CA"/>
              </w:rPr>
              <w:t xml:space="preserve">(1) </w:t>
            </w:r>
            <w:r w:rsidRPr="00A92CED">
              <w:rPr>
                <w:rFonts w:ascii="Calibri" w:hAnsi="Calibri" w:cs="Calibri"/>
                <w:shd w:val="clear" w:color="auto" w:fill="FFFFFF"/>
                <w:lang w:val="fr-CA"/>
              </w:rPr>
              <w:t>Si le vendeur de composant fournit les renseignements prévus à l’article 497, l’inspecteur en chef des explosifs l’inscrit sur la liste des vendeurs de composant, lui assigne un numéro et lui délivre une attestation indiquant le numéro et la date de prise d’effet de l’inscription.</w:t>
            </w:r>
          </w:p>
        </w:tc>
        <w:tc>
          <w:tcPr>
            <w:tcW w:w="4097" w:type="dxa"/>
            <w:gridSpan w:val="2"/>
          </w:tcPr>
          <w:p w14:paraId="6DB63C66" w14:textId="7D5D00B3" w:rsidR="00D31FBB" w:rsidRPr="00A92CED" w:rsidRDefault="00D31FBB" w:rsidP="00D15EFA">
            <w:pPr>
              <w:rPr>
                <w:lang w:val="fr-CA"/>
              </w:rPr>
            </w:pPr>
            <w:r w:rsidRPr="00A92CED">
              <w:rPr>
                <w:bCs/>
                <w:lang w:val="fr-CA"/>
              </w:rPr>
              <w:t>Modifier le paragraphe 500(1) pour préciser que si le vendeur de composant fournit les renseignements prévus à l’article 497, l’inspecteur en chef des explosifs lui assigne un numéro d’inscription et lui délivre une attestation indiquant le numéro et la date de prise d’effet de l’inscription.</w:t>
            </w:r>
          </w:p>
        </w:tc>
        <w:tc>
          <w:tcPr>
            <w:tcW w:w="3122" w:type="dxa"/>
          </w:tcPr>
          <w:p w14:paraId="03380959" w14:textId="22E46541" w:rsidR="00D31FBB" w:rsidRPr="00A92CED" w:rsidRDefault="00D31FBB" w:rsidP="00D15EFA">
            <w:pPr>
              <w:rPr>
                <w:lang w:val="fr-CA"/>
              </w:rPr>
            </w:pPr>
            <w:r w:rsidRPr="00A92CED">
              <w:rPr>
                <w:lang w:val="fr-CA"/>
              </w:rPr>
              <w:t xml:space="preserve">L’amendement proposé appuie l’intention de la politique d’actualiser la terminologie utilisée dans le Règlement afin qu’elle reflète les pratiques actuelles. Il n’existe pas de liste de vendeurs de composants. RNCan utilise plutôt le terme </w:t>
            </w:r>
            <w:r w:rsidRPr="00A92CED">
              <w:rPr>
                <w:rFonts w:cstheme="minorHAnsi"/>
                <w:lang w:val="fr-CA"/>
              </w:rPr>
              <w:t>« inscription </w:t>
            </w:r>
            <w:r w:rsidRPr="00A92CED">
              <w:rPr>
                <w:rFonts w:ascii="Calibri" w:hAnsi="Calibri" w:cs="Calibri"/>
                <w:lang w:val="fr-CA"/>
              </w:rPr>
              <w:t>».</w:t>
            </w:r>
          </w:p>
        </w:tc>
        <w:tc>
          <w:tcPr>
            <w:tcW w:w="3087" w:type="dxa"/>
          </w:tcPr>
          <w:p w14:paraId="57938FC3" w14:textId="77777777" w:rsidR="00D31FBB" w:rsidRPr="00A92CED" w:rsidRDefault="00D31FBB" w:rsidP="00D15EFA">
            <w:pPr>
              <w:rPr>
                <w:lang w:val="fr-CA"/>
              </w:rPr>
            </w:pPr>
          </w:p>
        </w:tc>
      </w:tr>
      <w:tr w:rsidR="00A92CED" w:rsidRPr="00A92CED" w14:paraId="337D9162" w14:textId="52FF2047" w:rsidTr="00E10233">
        <w:tc>
          <w:tcPr>
            <w:tcW w:w="3126" w:type="dxa"/>
          </w:tcPr>
          <w:p w14:paraId="6D113314" w14:textId="77777777" w:rsidR="00D31FBB" w:rsidRPr="00A92CED" w:rsidRDefault="00D31FBB" w:rsidP="00D15EFA">
            <w:pPr>
              <w:pStyle w:val="ListParagraph"/>
              <w:numPr>
                <w:ilvl w:val="0"/>
                <w:numId w:val="1"/>
              </w:numPr>
              <w:jc w:val="center"/>
              <w:rPr>
                <w:lang w:val="fr-CA"/>
              </w:rPr>
            </w:pPr>
          </w:p>
        </w:tc>
        <w:tc>
          <w:tcPr>
            <w:tcW w:w="3715" w:type="dxa"/>
          </w:tcPr>
          <w:p w14:paraId="47E17CA7" w14:textId="456FF72D" w:rsidR="00D31FBB" w:rsidRPr="00A92CED" w:rsidRDefault="00D31FBB" w:rsidP="00D15EFA">
            <w:pPr>
              <w:rPr>
                <w:rFonts w:ascii="Calibri" w:hAnsi="Calibri" w:cs="Calibri"/>
                <w:lang w:val="fr-CA"/>
              </w:rPr>
            </w:pPr>
            <w:r w:rsidRPr="00A92CED">
              <w:rPr>
                <w:rFonts w:ascii="Calibri" w:hAnsi="Calibri" w:cs="Calibri"/>
                <w:b/>
                <w:bCs/>
                <w:lang w:val="fr-CA"/>
              </w:rPr>
              <w:t xml:space="preserve">500 </w:t>
            </w:r>
            <w:r w:rsidRPr="00A92CED">
              <w:rPr>
                <w:rFonts w:ascii="Calibri" w:hAnsi="Calibri" w:cs="Calibri"/>
                <w:lang w:val="fr-CA"/>
              </w:rPr>
              <w:t>(2)</w:t>
            </w:r>
            <w:r w:rsidRPr="00A92CED">
              <w:rPr>
                <w:rFonts w:ascii="Calibri" w:hAnsi="Calibri" w:cs="Calibri"/>
                <w:shd w:val="clear" w:color="auto" w:fill="FFFFFF"/>
                <w:lang w:val="fr-CA"/>
              </w:rPr>
              <w:t xml:space="preserve"> L’inscription demeure valide pour une durée de cinq ans suivant la date indiquée dans l’attestation.</w:t>
            </w:r>
          </w:p>
        </w:tc>
        <w:tc>
          <w:tcPr>
            <w:tcW w:w="4097" w:type="dxa"/>
            <w:gridSpan w:val="2"/>
          </w:tcPr>
          <w:p w14:paraId="3077EC35" w14:textId="4E292B16" w:rsidR="00D31FBB" w:rsidRPr="00A92CED" w:rsidRDefault="00D31FBB" w:rsidP="00D15EFA">
            <w:pPr>
              <w:rPr>
                <w:lang w:val="fr-CA"/>
              </w:rPr>
            </w:pPr>
            <w:r w:rsidRPr="00A92CED">
              <w:rPr>
                <w:bCs/>
                <w:lang w:val="fr-CA"/>
              </w:rPr>
              <w:t xml:space="preserve">Modifier la version anglaise de l’article 500 pour remplacer le terme </w:t>
            </w:r>
            <w:r w:rsidRPr="00A92CED">
              <w:rPr>
                <w:rFonts w:cstheme="minorHAnsi"/>
                <w:bCs/>
                <w:lang w:val="fr-CA"/>
              </w:rPr>
              <w:t>« </w:t>
            </w:r>
            <w:r w:rsidRPr="00A92CED">
              <w:rPr>
                <w:bCs/>
                <w:lang w:val="fr-CA"/>
              </w:rPr>
              <w:t>listing </w:t>
            </w:r>
            <w:r w:rsidRPr="00A92CED">
              <w:rPr>
                <w:rFonts w:cstheme="minorHAnsi"/>
                <w:bCs/>
                <w:lang w:val="fr-CA"/>
              </w:rPr>
              <w:t>»</w:t>
            </w:r>
            <w:r w:rsidRPr="00A92CED">
              <w:rPr>
                <w:bCs/>
                <w:lang w:val="fr-CA"/>
              </w:rPr>
              <w:t xml:space="preserve"> par </w:t>
            </w:r>
            <w:r w:rsidRPr="00A92CED">
              <w:rPr>
                <w:rFonts w:cstheme="minorHAnsi"/>
                <w:bCs/>
                <w:lang w:val="fr-CA"/>
              </w:rPr>
              <w:t>«</w:t>
            </w:r>
            <w:r w:rsidRPr="00A92CED">
              <w:rPr>
                <w:bCs/>
                <w:lang w:val="fr-CA"/>
              </w:rPr>
              <w:t> </w:t>
            </w:r>
            <w:r w:rsidRPr="00A92CED">
              <w:rPr>
                <w:lang w:val="fr-CA"/>
              </w:rPr>
              <w:t>enrolment </w:t>
            </w:r>
            <w:r w:rsidRPr="00A92CED">
              <w:rPr>
                <w:rFonts w:cstheme="minorHAnsi"/>
                <w:lang w:val="fr-CA"/>
              </w:rPr>
              <w:t>».</w:t>
            </w:r>
          </w:p>
        </w:tc>
        <w:tc>
          <w:tcPr>
            <w:tcW w:w="3122" w:type="dxa"/>
          </w:tcPr>
          <w:p w14:paraId="03AD896B" w14:textId="6A882102" w:rsidR="00D31FBB" w:rsidRPr="00A92CED" w:rsidRDefault="00D31FBB" w:rsidP="00D15EFA">
            <w:pPr>
              <w:rPr>
                <w:lang w:val="fr-CA"/>
              </w:rPr>
            </w:pPr>
            <w:r w:rsidRPr="00A92CED">
              <w:rPr>
                <w:lang w:val="fr-CA"/>
              </w:rPr>
              <w:t xml:space="preserve">L’amendement proposé appuie l’intention de la politique d’actualiser la terminologie utilisée dans le Règlement afin qu’elle reflète les pratiques actuelles. Il n’existe pas de liste de vendeurs de composants. RNCan utilise plutôt le terme </w:t>
            </w:r>
            <w:r w:rsidRPr="00A92CED">
              <w:rPr>
                <w:rFonts w:cstheme="minorHAnsi"/>
                <w:lang w:val="fr-CA"/>
              </w:rPr>
              <w:t>« inscription </w:t>
            </w:r>
            <w:r w:rsidRPr="00A92CED">
              <w:rPr>
                <w:rFonts w:ascii="Calibri" w:hAnsi="Calibri" w:cs="Calibri"/>
                <w:lang w:val="fr-CA"/>
              </w:rPr>
              <w:t>».</w:t>
            </w:r>
          </w:p>
        </w:tc>
        <w:tc>
          <w:tcPr>
            <w:tcW w:w="3087" w:type="dxa"/>
          </w:tcPr>
          <w:p w14:paraId="208627F9" w14:textId="77777777" w:rsidR="00D31FBB" w:rsidRPr="00A92CED" w:rsidRDefault="00D31FBB" w:rsidP="00D15EFA">
            <w:pPr>
              <w:rPr>
                <w:lang w:val="fr-CA"/>
              </w:rPr>
            </w:pPr>
          </w:p>
        </w:tc>
      </w:tr>
      <w:tr w:rsidR="00A92CED" w:rsidRPr="00A92CED" w14:paraId="2ACA686B" w14:textId="55B84FAD" w:rsidTr="00E10233">
        <w:tc>
          <w:tcPr>
            <w:tcW w:w="3126" w:type="dxa"/>
          </w:tcPr>
          <w:p w14:paraId="733F2953" w14:textId="77777777" w:rsidR="00D31FBB" w:rsidRPr="00A92CED" w:rsidRDefault="00D31FBB" w:rsidP="00D15EFA">
            <w:pPr>
              <w:pStyle w:val="ListParagraph"/>
              <w:numPr>
                <w:ilvl w:val="0"/>
                <w:numId w:val="1"/>
              </w:numPr>
              <w:jc w:val="center"/>
              <w:rPr>
                <w:lang w:val="fr-CA"/>
              </w:rPr>
            </w:pPr>
          </w:p>
        </w:tc>
        <w:tc>
          <w:tcPr>
            <w:tcW w:w="3715" w:type="dxa"/>
          </w:tcPr>
          <w:p w14:paraId="5921555A" w14:textId="50C6602D" w:rsidR="00D31FBB" w:rsidRPr="00A92CED" w:rsidRDefault="00D31FBB" w:rsidP="00D15EFA">
            <w:pPr>
              <w:rPr>
                <w:rFonts w:ascii="Calibri" w:hAnsi="Calibri" w:cs="Calibri"/>
                <w:lang w:val="fr-CA"/>
              </w:rPr>
            </w:pPr>
            <w:r w:rsidRPr="00A92CED">
              <w:rPr>
                <w:rFonts w:ascii="Calibri" w:hAnsi="Calibri" w:cs="Calibri"/>
                <w:b/>
                <w:bCs/>
                <w:lang w:val="fr-CA"/>
              </w:rPr>
              <w:t xml:space="preserve">501 </w:t>
            </w:r>
            <w:r w:rsidRPr="00A92CED">
              <w:rPr>
                <w:rFonts w:ascii="Calibri" w:hAnsi="Calibri" w:cs="Calibri"/>
                <w:lang w:val="fr-CA"/>
              </w:rPr>
              <w:t>(1)</w:t>
            </w:r>
            <w:r w:rsidRPr="00A92CED">
              <w:rPr>
                <w:rFonts w:ascii="Calibri" w:hAnsi="Calibri" w:cs="Calibri"/>
                <w:shd w:val="clear" w:color="auto" w:fill="FFFFFF"/>
                <w:lang w:val="fr-CA"/>
              </w:rPr>
              <w:t xml:space="preserve"> Si le vendeur de produit fournit les renseignements prévus à l’article 499, l’inspecteur en chef des explosifs l’inscrit sur la liste des vendeurs de produit, lui assigne un numéro et lui délivre une attestation indiquant le numéro et la date de prise d’effet de l’inscription.</w:t>
            </w:r>
          </w:p>
        </w:tc>
        <w:tc>
          <w:tcPr>
            <w:tcW w:w="4097" w:type="dxa"/>
            <w:gridSpan w:val="2"/>
          </w:tcPr>
          <w:p w14:paraId="6ED455CE" w14:textId="4F7DE309" w:rsidR="00D31FBB" w:rsidRPr="00A92CED" w:rsidRDefault="00D31FBB" w:rsidP="00D15EFA">
            <w:pPr>
              <w:rPr>
                <w:lang w:val="fr-CA"/>
              </w:rPr>
            </w:pPr>
            <w:r w:rsidRPr="00A92CED">
              <w:rPr>
                <w:bCs/>
                <w:lang w:val="fr-CA"/>
              </w:rPr>
              <w:t>Modifier l’article 501 pour préciser que si le vendeur de produit fournit les renseignements prévus à l’article 499, l’inspecteur en chef des explosifs lui assigne un numéro d’inscription et lui délivre une attestation indiquant le numéro et la date de prise d’effet de l’inscription.</w:t>
            </w:r>
          </w:p>
        </w:tc>
        <w:tc>
          <w:tcPr>
            <w:tcW w:w="3122" w:type="dxa"/>
          </w:tcPr>
          <w:p w14:paraId="62ECA031" w14:textId="591A1E75" w:rsidR="00D31FBB" w:rsidRPr="00A92CED" w:rsidRDefault="00D31FBB" w:rsidP="00D15EFA">
            <w:pPr>
              <w:rPr>
                <w:lang w:val="fr-CA"/>
              </w:rPr>
            </w:pPr>
            <w:r w:rsidRPr="00A92CED">
              <w:rPr>
                <w:lang w:val="fr-CA"/>
              </w:rPr>
              <w:t xml:space="preserve">L’amendement proposé appuie l’intention de la politique d’actualiser la terminologie utilisée dans le Règlement afin qu’elle reflète les pratiques actuelles. Il n’existe pas de liste de vendeurs de produits. RNCan utilise plutôt le terme </w:t>
            </w:r>
            <w:r w:rsidRPr="00A92CED">
              <w:rPr>
                <w:rFonts w:cstheme="minorHAnsi"/>
                <w:lang w:val="fr-CA"/>
              </w:rPr>
              <w:t>« inscription </w:t>
            </w:r>
            <w:r w:rsidRPr="00A92CED">
              <w:rPr>
                <w:rFonts w:ascii="Calibri" w:hAnsi="Calibri" w:cs="Calibri"/>
                <w:lang w:val="fr-CA"/>
              </w:rPr>
              <w:t>».</w:t>
            </w:r>
          </w:p>
        </w:tc>
        <w:tc>
          <w:tcPr>
            <w:tcW w:w="3087" w:type="dxa"/>
          </w:tcPr>
          <w:p w14:paraId="1AD57FFC" w14:textId="77777777" w:rsidR="00D31FBB" w:rsidRPr="00A92CED" w:rsidRDefault="00D31FBB" w:rsidP="00D15EFA">
            <w:pPr>
              <w:rPr>
                <w:lang w:val="fr-CA"/>
              </w:rPr>
            </w:pPr>
          </w:p>
        </w:tc>
      </w:tr>
      <w:tr w:rsidR="00A92CED" w:rsidRPr="00A92CED" w14:paraId="29856D64" w14:textId="0B9B9BC0" w:rsidTr="00E10233">
        <w:tc>
          <w:tcPr>
            <w:tcW w:w="3126" w:type="dxa"/>
          </w:tcPr>
          <w:p w14:paraId="3214AAF0" w14:textId="77777777" w:rsidR="00D31FBB" w:rsidRPr="00A92CED" w:rsidRDefault="00D31FBB" w:rsidP="00D15EFA">
            <w:pPr>
              <w:pStyle w:val="ListParagraph"/>
              <w:numPr>
                <w:ilvl w:val="0"/>
                <w:numId w:val="1"/>
              </w:numPr>
              <w:jc w:val="center"/>
              <w:rPr>
                <w:lang w:val="fr-CA"/>
              </w:rPr>
            </w:pPr>
          </w:p>
        </w:tc>
        <w:tc>
          <w:tcPr>
            <w:tcW w:w="3715" w:type="dxa"/>
          </w:tcPr>
          <w:p w14:paraId="5DEE7966" w14:textId="6669C692" w:rsidR="00D31FBB" w:rsidRPr="00A92CED" w:rsidRDefault="00D31FBB" w:rsidP="00D15EFA">
            <w:pPr>
              <w:rPr>
                <w:rFonts w:ascii="Calibri" w:hAnsi="Calibri" w:cs="Calibri"/>
                <w:lang w:val="fr-CA"/>
              </w:rPr>
            </w:pPr>
            <w:r w:rsidRPr="00A92CED">
              <w:rPr>
                <w:rFonts w:ascii="Calibri" w:hAnsi="Calibri" w:cs="Calibri"/>
                <w:b/>
                <w:bCs/>
                <w:lang w:val="fr-CA"/>
              </w:rPr>
              <w:t xml:space="preserve">501 </w:t>
            </w:r>
            <w:r w:rsidRPr="00A92CED">
              <w:rPr>
                <w:rFonts w:ascii="Calibri" w:hAnsi="Calibri" w:cs="Calibri"/>
                <w:lang w:val="fr-CA"/>
              </w:rPr>
              <w:t>(2)</w:t>
            </w:r>
            <w:r w:rsidRPr="00A92CED">
              <w:rPr>
                <w:rFonts w:ascii="Calibri" w:hAnsi="Calibri" w:cs="Calibri"/>
                <w:shd w:val="clear" w:color="auto" w:fill="FFFFFF"/>
                <w:lang w:val="fr-CA"/>
              </w:rPr>
              <w:t xml:space="preserve"> L’inscription demeure valide pour une durée de cinq ans suivant la date indiquée dans l’attestation.</w:t>
            </w:r>
          </w:p>
        </w:tc>
        <w:tc>
          <w:tcPr>
            <w:tcW w:w="4097" w:type="dxa"/>
            <w:gridSpan w:val="2"/>
          </w:tcPr>
          <w:p w14:paraId="20B43172" w14:textId="5BF56B21" w:rsidR="00D31FBB" w:rsidRPr="00A92CED" w:rsidRDefault="00D31FBB" w:rsidP="00D15EFA">
            <w:pPr>
              <w:rPr>
                <w:lang w:val="fr-CA"/>
              </w:rPr>
            </w:pPr>
            <w:r w:rsidRPr="00A92CED">
              <w:rPr>
                <w:bCs/>
                <w:lang w:val="fr-CA"/>
              </w:rPr>
              <w:t xml:space="preserve">Modifier la version anglaise de l’article 501 pour remplacer le terme </w:t>
            </w:r>
            <w:r w:rsidRPr="00A92CED">
              <w:rPr>
                <w:rFonts w:cstheme="minorHAnsi"/>
                <w:bCs/>
                <w:lang w:val="fr-CA"/>
              </w:rPr>
              <w:t>« </w:t>
            </w:r>
            <w:r w:rsidRPr="00A92CED">
              <w:rPr>
                <w:bCs/>
                <w:lang w:val="fr-CA"/>
              </w:rPr>
              <w:t>listing </w:t>
            </w:r>
            <w:r w:rsidRPr="00A92CED">
              <w:rPr>
                <w:rFonts w:cstheme="minorHAnsi"/>
                <w:bCs/>
                <w:lang w:val="fr-CA"/>
              </w:rPr>
              <w:t>»</w:t>
            </w:r>
            <w:r w:rsidRPr="00A92CED">
              <w:rPr>
                <w:bCs/>
                <w:lang w:val="fr-CA"/>
              </w:rPr>
              <w:t xml:space="preserve"> par </w:t>
            </w:r>
            <w:r w:rsidRPr="00A92CED">
              <w:rPr>
                <w:rFonts w:cstheme="minorHAnsi"/>
                <w:bCs/>
                <w:lang w:val="fr-CA"/>
              </w:rPr>
              <w:t>«</w:t>
            </w:r>
            <w:r w:rsidRPr="00A92CED">
              <w:rPr>
                <w:bCs/>
                <w:lang w:val="fr-CA"/>
              </w:rPr>
              <w:t> </w:t>
            </w:r>
            <w:r w:rsidRPr="00A92CED">
              <w:rPr>
                <w:lang w:val="fr-CA"/>
              </w:rPr>
              <w:t>enrolment </w:t>
            </w:r>
            <w:r w:rsidRPr="00A92CED">
              <w:rPr>
                <w:rFonts w:cstheme="minorHAnsi"/>
                <w:lang w:val="fr-CA"/>
              </w:rPr>
              <w:t>».</w:t>
            </w:r>
          </w:p>
        </w:tc>
        <w:tc>
          <w:tcPr>
            <w:tcW w:w="3122" w:type="dxa"/>
          </w:tcPr>
          <w:p w14:paraId="3BD9B1C4" w14:textId="40389DEF" w:rsidR="00D31FBB" w:rsidRPr="00A92CED" w:rsidRDefault="00D31FBB" w:rsidP="00D15EFA">
            <w:pPr>
              <w:rPr>
                <w:lang w:val="fr-CA"/>
              </w:rPr>
            </w:pPr>
            <w:r w:rsidRPr="00A92CED">
              <w:rPr>
                <w:lang w:val="fr-CA"/>
              </w:rPr>
              <w:t xml:space="preserve">L’amendement proposé appuie l’intention de la politique d’actualiser la terminologie utilisée dans le Règlement afin qu’elle reflète les pratiques actuelles. Il n’existe pas de liste de vendeurs de produits. RNCan utilise plutôt le terme </w:t>
            </w:r>
            <w:r w:rsidRPr="00A92CED">
              <w:rPr>
                <w:rFonts w:cstheme="minorHAnsi"/>
                <w:lang w:val="fr-CA"/>
              </w:rPr>
              <w:t>« inscription </w:t>
            </w:r>
            <w:r w:rsidRPr="00A92CED">
              <w:rPr>
                <w:rFonts w:ascii="Calibri" w:hAnsi="Calibri" w:cs="Calibri"/>
                <w:lang w:val="fr-CA"/>
              </w:rPr>
              <w:t>».</w:t>
            </w:r>
          </w:p>
        </w:tc>
        <w:tc>
          <w:tcPr>
            <w:tcW w:w="3087" w:type="dxa"/>
          </w:tcPr>
          <w:p w14:paraId="6BB2C6E0" w14:textId="77777777" w:rsidR="00D31FBB" w:rsidRPr="00A92CED" w:rsidRDefault="00D31FBB" w:rsidP="00D15EFA">
            <w:pPr>
              <w:rPr>
                <w:lang w:val="fr-CA"/>
              </w:rPr>
            </w:pPr>
          </w:p>
        </w:tc>
      </w:tr>
      <w:tr w:rsidR="00A92CED" w:rsidRPr="00A92CED" w14:paraId="377724F8" w14:textId="44846D12" w:rsidTr="00E10233">
        <w:tc>
          <w:tcPr>
            <w:tcW w:w="3126" w:type="dxa"/>
          </w:tcPr>
          <w:p w14:paraId="7EC27036" w14:textId="77777777" w:rsidR="00D31FBB" w:rsidRPr="00A92CED" w:rsidRDefault="00D31FBB" w:rsidP="00D15EFA">
            <w:pPr>
              <w:pStyle w:val="ListParagraph"/>
              <w:numPr>
                <w:ilvl w:val="0"/>
                <w:numId w:val="1"/>
              </w:numPr>
              <w:jc w:val="center"/>
              <w:rPr>
                <w:lang w:val="fr-CA"/>
              </w:rPr>
            </w:pPr>
          </w:p>
        </w:tc>
        <w:tc>
          <w:tcPr>
            <w:tcW w:w="3715" w:type="dxa"/>
          </w:tcPr>
          <w:p w14:paraId="1EE0585F" w14:textId="6B48E645" w:rsidR="00D31FBB" w:rsidRPr="00A92CED" w:rsidRDefault="00D31FBB" w:rsidP="00D15EFA">
            <w:pPr>
              <w:pStyle w:val="section"/>
              <w:shd w:val="clear" w:color="auto" w:fill="FFFFFF"/>
              <w:spacing w:before="0" w:beforeAutospacing="0" w:after="0" w:afterAutospacing="0"/>
              <w:rPr>
                <w:rFonts w:ascii="Calibri" w:hAnsi="Calibri" w:cs="Calibri"/>
                <w:sz w:val="22"/>
                <w:szCs w:val="22"/>
                <w:lang w:val="fr-CA"/>
              </w:rPr>
            </w:pPr>
            <w:r w:rsidRPr="00A92CED">
              <w:rPr>
                <w:rFonts w:ascii="Calibri" w:hAnsi="Calibri" w:cs="Calibri"/>
                <w:b/>
                <w:bCs/>
                <w:sz w:val="22"/>
                <w:szCs w:val="22"/>
                <w:lang w:val="fr-CA"/>
              </w:rPr>
              <w:t xml:space="preserve">508 </w:t>
            </w:r>
            <w:r w:rsidRPr="00A92CED">
              <w:rPr>
                <w:rFonts w:ascii="Calibri" w:hAnsi="Calibri" w:cs="Calibri"/>
                <w:sz w:val="22"/>
                <w:szCs w:val="22"/>
                <w:lang w:val="fr-CA"/>
              </w:rPr>
              <w:t>En cas de vol, d’altération ou de tentative de vol d’un composant de niveau 2 :</w:t>
            </w:r>
          </w:p>
          <w:p w14:paraId="1FAAEB5D" w14:textId="77777777" w:rsidR="00D31FBB" w:rsidRPr="00A92CED" w:rsidRDefault="00D31FBB" w:rsidP="00D15EFA">
            <w:pPr>
              <w:pStyle w:val="paragraph"/>
              <w:shd w:val="clear" w:color="auto" w:fill="FFFFFF"/>
              <w:spacing w:before="0" w:beforeAutospacing="0" w:after="0" w:afterAutospacing="0"/>
              <w:ind w:left="720"/>
              <w:rPr>
                <w:rFonts w:ascii="Calibri" w:hAnsi="Calibri" w:cs="Calibri"/>
                <w:sz w:val="22"/>
                <w:szCs w:val="22"/>
                <w:lang w:val="fr-CA"/>
              </w:rPr>
            </w:pPr>
            <w:r w:rsidRPr="00A92CED">
              <w:rPr>
                <w:rStyle w:val="lawlabel"/>
                <w:rFonts w:ascii="Calibri" w:hAnsi="Calibri" w:cs="Calibri"/>
                <w:sz w:val="22"/>
                <w:szCs w:val="22"/>
                <w:lang w:val="fr-CA"/>
              </w:rPr>
              <w:t>a)</w:t>
            </w:r>
            <w:r w:rsidRPr="00A92CED">
              <w:rPr>
                <w:rFonts w:ascii="Calibri" w:hAnsi="Calibri" w:cs="Calibri"/>
                <w:sz w:val="22"/>
                <w:szCs w:val="22"/>
                <w:lang w:val="fr-CA"/>
              </w:rPr>
              <w:t> le service de police local en est informé sans délai;</w:t>
            </w:r>
          </w:p>
          <w:p w14:paraId="7B1400C2" w14:textId="1B679FD5" w:rsidR="00D31FBB" w:rsidRPr="00A92CED" w:rsidRDefault="00D31FBB" w:rsidP="00D15EFA">
            <w:pPr>
              <w:pStyle w:val="paragraph"/>
              <w:shd w:val="clear" w:color="auto" w:fill="FFFFFF"/>
              <w:spacing w:before="0" w:beforeAutospacing="0" w:after="0" w:afterAutospacing="0"/>
              <w:ind w:left="720"/>
              <w:rPr>
                <w:rFonts w:ascii="Calibri" w:hAnsi="Calibri" w:cs="Calibri"/>
                <w:sz w:val="22"/>
                <w:szCs w:val="22"/>
                <w:lang w:val="fr-CA"/>
              </w:rPr>
            </w:pPr>
            <w:r w:rsidRPr="00A92CED">
              <w:rPr>
                <w:rStyle w:val="lawlabel"/>
                <w:rFonts w:ascii="Calibri" w:hAnsi="Calibri" w:cs="Calibri"/>
                <w:sz w:val="22"/>
                <w:szCs w:val="22"/>
                <w:lang w:val="fr-CA"/>
              </w:rPr>
              <w:lastRenderedPageBreak/>
              <w:t>b)</w:t>
            </w:r>
            <w:r w:rsidRPr="00A92CED">
              <w:rPr>
                <w:rFonts w:ascii="Calibri" w:hAnsi="Calibri" w:cs="Calibri"/>
                <w:sz w:val="22"/>
                <w:szCs w:val="22"/>
                <w:lang w:val="fr-CA"/>
              </w:rPr>
              <w:t> l’inspecteur en chef des explosifs en est informé dans les vingt-quatre heures qui suivent la découverte de l’incident;</w:t>
            </w:r>
          </w:p>
          <w:p w14:paraId="0457D47D" w14:textId="42647FE6" w:rsidR="00D31FBB" w:rsidRPr="00A92CED" w:rsidRDefault="00D31FBB" w:rsidP="00D15EFA">
            <w:pPr>
              <w:pStyle w:val="paragraph"/>
              <w:shd w:val="clear" w:color="auto" w:fill="FFFFFF"/>
              <w:spacing w:before="0" w:beforeAutospacing="0" w:after="0" w:afterAutospacing="0"/>
              <w:ind w:left="720"/>
              <w:rPr>
                <w:rFonts w:ascii="Helvetica" w:hAnsi="Helvetica" w:cs="Helvetica"/>
                <w:lang w:val="fr-CA"/>
              </w:rPr>
            </w:pPr>
            <w:r w:rsidRPr="00A92CED">
              <w:rPr>
                <w:rStyle w:val="lawlabel"/>
                <w:rFonts w:ascii="Calibri" w:hAnsi="Calibri" w:cs="Calibri"/>
                <w:sz w:val="22"/>
                <w:szCs w:val="22"/>
                <w:lang w:val="fr-CA"/>
              </w:rPr>
              <w:t>c)</w:t>
            </w:r>
            <w:r w:rsidRPr="00A92CED">
              <w:rPr>
                <w:rFonts w:ascii="Calibri" w:hAnsi="Calibri" w:cs="Calibri"/>
                <w:sz w:val="22"/>
                <w:szCs w:val="22"/>
                <w:lang w:val="fr-CA"/>
              </w:rPr>
              <w:t> un rapport écrit est présenté dès que possible à l’inspecteur en chef des explosifs.</w:t>
            </w:r>
          </w:p>
        </w:tc>
        <w:tc>
          <w:tcPr>
            <w:tcW w:w="4097" w:type="dxa"/>
            <w:gridSpan w:val="2"/>
          </w:tcPr>
          <w:p w14:paraId="018060F8" w14:textId="31F5D377" w:rsidR="00D31FBB" w:rsidRPr="00A92CED" w:rsidRDefault="00D31FBB" w:rsidP="00D15EFA">
            <w:pPr>
              <w:rPr>
                <w:rFonts w:ascii="Calibri" w:hAnsi="Calibri" w:cs="Calibri"/>
                <w:lang w:val="fr-CA"/>
              </w:rPr>
            </w:pPr>
            <w:r w:rsidRPr="00A92CED">
              <w:rPr>
                <w:rFonts w:ascii="Calibri" w:hAnsi="Calibri" w:cs="Calibri"/>
                <w:lang w:val="fr-CA"/>
              </w:rPr>
              <w:lastRenderedPageBreak/>
              <w:t>Modifier l’article 508 pour préciser qu’en cas de vol, d’altération ou de tentative de vol d’un composant de niveau 2 :</w:t>
            </w:r>
          </w:p>
          <w:p w14:paraId="3514B7F3" w14:textId="33BEEE37" w:rsidR="00D31FBB" w:rsidRPr="00A92CED" w:rsidRDefault="00D31FBB" w:rsidP="00D15EFA">
            <w:pPr>
              <w:pStyle w:val="ListParagraph"/>
              <w:numPr>
                <w:ilvl w:val="0"/>
                <w:numId w:val="30"/>
              </w:numPr>
              <w:rPr>
                <w:bCs/>
                <w:lang w:val="fr-CA"/>
              </w:rPr>
            </w:pPr>
            <w:r w:rsidRPr="00A92CED">
              <w:rPr>
                <w:rFonts w:ascii="Calibri" w:hAnsi="Calibri" w:cs="Calibri"/>
                <w:lang w:val="fr-CA"/>
              </w:rPr>
              <w:t>le service de police local en est informé sans délai;</w:t>
            </w:r>
          </w:p>
          <w:p w14:paraId="387F5F1B" w14:textId="41146E86" w:rsidR="00D31FBB" w:rsidRPr="00A92CED" w:rsidRDefault="00D31FBB" w:rsidP="00D15EFA">
            <w:pPr>
              <w:pStyle w:val="ListParagraph"/>
              <w:numPr>
                <w:ilvl w:val="0"/>
                <w:numId w:val="30"/>
              </w:numPr>
              <w:rPr>
                <w:lang w:val="fr-CA"/>
              </w:rPr>
            </w:pPr>
            <w:r w:rsidRPr="00A92CED">
              <w:rPr>
                <w:rFonts w:ascii="Calibri" w:hAnsi="Calibri" w:cs="Calibri"/>
                <w:lang w:val="fr-CA"/>
              </w:rPr>
              <w:lastRenderedPageBreak/>
              <w:t>un rapport écrit est présenté à l’inspecteur en chef des explosifs dans les vingt-quatre heures qui suivent la découverte de l’incident.</w:t>
            </w:r>
          </w:p>
        </w:tc>
        <w:tc>
          <w:tcPr>
            <w:tcW w:w="3122" w:type="dxa"/>
          </w:tcPr>
          <w:p w14:paraId="09706248" w14:textId="4DD4AD68" w:rsidR="00D31FBB" w:rsidRPr="00A92CED" w:rsidRDefault="00D31FBB" w:rsidP="00D15EFA">
            <w:pPr>
              <w:rPr>
                <w:lang w:val="fr-CA"/>
              </w:rPr>
            </w:pPr>
            <w:r w:rsidRPr="00A92CED">
              <w:rPr>
                <w:lang w:val="fr-CA"/>
              </w:rPr>
              <w:lastRenderedPageBreak/>
              <w:t xml:space="preserve">Cet amendement proposé simplifierait le processus global de rapport en harmonisant les exigences d’établissement de rapports prévues à l’article 508 pour les composants de </w:t>
            </w:r>
            <w:r w:rsidRPr="00A92CED">
              <w:rPr>
                <w:lang w:val="fr-CA"/>
              </w:rPr>
              <w:lastRenderedPageBreak/>
              <w:t>niveau 2 avec celles prévues à l’article 480 pour les composants de niveau 1. De même, les amendements proposés au point 183 du présent document de consultation permettraient d’harmoniser les exigences d’établissement de rapports prévues à l’article 519 pour les composants de niveau 3 avec les articles 480 et 508.</w:t>
            </w:r>
          </w:p>
        </w:tc>
        <w:tc>
          <w:tcPr>
            <w:tcW w:w="3087" w:type="dxa"/>
          </w:tcPr>
          <w:p w14:paraId="27592262" w14:textId="77777777" w:rsidR="00D31FBB" w:rsidRPr="00A92CED" w:rsidRDefault="00D31FBB" w:rsidP="00D15EFA">
            <w:pPr>
              <w:rPr>
                <w:lang w:val="fr-CA"/>
              </w:rPr>
            </w:pPr>
          </w:p>
        </w:tc>
      </w:tr>
      <w:tr w:rsidR="00A92CED" w:rsidRPr="00A92CED" w14:paraId="32ABFB8E" w14:textId="2188D116" w:rsidTr="00E10233">
        <w:tc>
          <w:tcPr>
            <w:tcW w:w="3126" w:type="dxa"/>
          </w:tcPr>
          <w:p w14:paraId="2374BD38" w14:textId="77777777" w:rsidR="00D31FBB" w:rsidRPr="00A92CED" w:rsidRDefault="00D31FBB" w:rsidP="00D15EFA">
            <w:pPr>
              <w:pStyle w:val="ListParagraph"/>
              <w:numPr>
                <w:ilvl w:val="0"/>
                <w:numId w:val="1"/>
              </w:numPr>
              <w:jc w:val="center"/>
              <w:rPr>
                <w:lang w:val="fr-CA"/>
              </w:rPr>
            </w:pPr>
          </w:p>
        </w:tc>
        <w:tc>
          <w:tcPr>
            <w:tcW w:w="3715" w:type="dxa"/>
          </w:tcPr>
          <w:p w14:paraId="768FBA84" w14:textId="17507952" w:rsidR="00D31FBB" w:rsidRPr="00A92CED" w:rsidRDefault="00D31FBB" w:rsidP="00D15EFA">
            <w:pPr>
              <w:pStyle w:val="section"/>
              <w:shd w:val="clear" w:color="auto" w:fill="FFFFFF"/>
              <w:spacing w:before="0" w:beforeAutospacing="0" w:after="0" w:afterAutospacing="0"/>
              <w:rPr>
                <w:rFonts w:ascii="Calibri" w:hAnsi="Calibri" w:cs="Calibri"/>
                <w:sz w:val="22"/>
                <w:szCs w:val="22"/>
                <w:lang w:val="fr-CA"/>
              </w:rPr>
            </w:pPr>
            <w:r w:rsidRPr="00A92CED">
              <w:rPr>
                <w:rFonts w:ascii="Calibri" w:hAnsi="Calibri" w:cs="Calibri"/>
                <w:b/>
                <w:bCs/>
                <w:sz w:val="22"/>
                <w:szCs w:val="22"/>
                <w:lang w:val="fr-CA"/>
              </w:rPr>
              <w:t xml:space="preserve">510 </w:t>
            </w:r>
            <w:r w:rsidRPr="00A92CED">
              <w:rPr>
                <w:rFonts w:ascii="Calibri" w:hAnsi="Calibri" w:cs="Calibri"/>
                <w:sz w:val="22"/>
                <w:szCs w:val="22"/>
                <w:lang w:val="fr-CA"/>
              </w:rPr>
              <w:t>Avant la vente d’un composant de niveau 2, il est exigé de l’acheteur qu’il prouve son identité en présentant :</w:t>
            </w:r>
          </w:p>
          <w:p w14:paraId="508BE2C3" w14:textId="2839E0FF" w:rsidR="00D31FBB" w:rsidRPr="00A92CED" w:rsidRDefault="00D31FBB" w:rsidP="00D15EFA">
            <w:pPr>
              <w:pStyle w:val="paragraph"/>
              <w:shd w:val="clear" w:color="auto" w:fill="FFFFFF"/>
              <w:spacing w:before="0" w:beforeAutospacing="0" w:after="0" w:afterAutospacing="0"/>
              <w:ind w:left="720"/>
              <w:rPr>
                <w:rFonts w:ascii="Helvetica" w:hAnsi="Helvetica" w:cs="Helvetica"/>
                <w:lang w:val="fr-CA"/>
              </w:rPr>
            </w:pPr>
            <w:r w:rsidRPr="00A92CED">
              <w:rPr>
                <w:rStyle w:val="lawlabel"/>
                <w:rFonts w:ascii="Calibri" w:hAnsi="Calibri" w:cs="Calibri"/>
                <w:sz w:val="22"/>
                <w:szCs w:val="22"/>
                <w:lang w:val="fr-CA"/>
              </w:rPr>
              <w:t>b)</w:t>
            </w:r>
            <w:r w:rsidRPr="00A92CED">
              <w:rPr>
                <w:rFonts w:ascii="Calibri" w:hAnsi="Calibri" w:cs="Calibri"/>
                <w:sz w:val="22"/>
                <w:szCs w:val="22"/>
                <w:lang w:val="fr-CA"/>
              </w:rPr>
              <w:t> dans le cas où l’acheteur prévoit vendre le composant, une preuve de son inscription sur la liste des vendeurs de composant;</w:t>
            </w:r>
          </w:p>
        </w:tc>
        <w:tc>
          <w:tcPr>
            <w:tcW w:w="4097" w:type="dxa"/>
            <w:gridSpan w:val="2"/>
          </w:tcPr>
          <w:p w14:paraId="21872F61" w14:textId="7E30A8C5" w:rsidR="00D31FBB" w:rsidRPr="00A92CED" w:rsidRDefault="00D31FBB" w:rsidP="00D15EFA">
            <w:pPr>
              <w:rPr>
                <w:lang w:val="fr-CA"/>
              </w:rPr>
            </w:pPr>
            <w:r w:rsidRPr="00A92CED">
              <w:rPr>
                <w:rFonts w:ascii="Calibri" w:hAnsi="Calibri" w:cs="Calibri"/>
                <w:lang w:val="fr-CA"/>
              </w:rPr>
              <w:t>Modifier l’alinéa 510b) pour remplacer « preuve de son inscription sur la liste des vendeurs de composant » par « preuve de son inscription ».</w:t>
            </w:r>
          </w:p>
        </w:tc>
        <w:tc>
          <w:tcPr>
            <w:tcW w:w="3122" w:type="dxa"/>
          </w:tcPr>
          <w:p w14:paraId="5A315C3A" w14:textId="43F3922E" w:rsidR="00D31FBB" w:rsidRPr="00A92CED" w:rsidRDefault="00D31FBB" w:rsidP="00D15EFA">
            <w:pPr>
              <w:rPr>
                <w:lang w:val="fr-CA"/>
              </w:rPr>
            </w:pPr>
            <w:r w:rsidRPr="00A92CED">
              <w:rPr>
                <w:lang w:val="fr-CA"/>
              </w:rPr>
              <w:t xml:space="preserve">L’amendement proposé appuie l’intention de la politique d’actualiser la terminologie utilisée dans le Règlement afin qu’elle reflète les pratiques actuelles. Il n’existe pas de liste de vendeurs de composants. RNCan utilise plutôt le terme </w:t>
            </w:r>
            <w:r w:rsidRPr="00A92CED">
              <w:rPr>
                <w:rFonts w:cstheme="minorHAnsi"/>
                <w:lang w:val="fr-CA"/>
              </w:rPr>
              <w:t>« inscription </w:t>
            </w:r>
            <w:r w:rsidRPr="00A92CED">
              <w:rPr>
                <w:rFonts w:ascii="Calibri" w:hAnsi="Calibri" w:cs="Calibri"/>
                <w:lang w:val="fr-CA"/>
              </w:rPr>
              <w:t>».</w:t>
            </w:r>
          </w:p>
        </w:tc>
        <w:tc>
          <w:tcPr>
            <w:tcW w:w="3087" w:type="dxa"/>
          </w:tcPr>
          <w:p w14:paraId="18C9F769" w14:textId="77777777" w:rsidR="00D31FBB" w:rsidRPr="00A92CED" w:rsidRDefault="00D31FBB" w:rsidP="00D15EFA">
            <w:pPr>
              <w:rPr>
                <w:lang w:val="fr-CA"/>
              </w:rPr>
            </w:pPr>
          </w:p>
        </w:tc>
      </w:tr>
      <w:tr w:rsidR="00A92CED" w:rsidRPr="00A92CED" w14:paraId="1404DAEA" w14:textId="17253663" w:rsidTr="00E10233">
        <w:tc>
          <w:tcPr>
            <w:tcW w:w="3126" w:type="dxa"/>
          </w:tcPr>
          <w:p w14:paraId="0ADE524D" w14:textId="77777777" w:rsidR="00D31FBB" w:rsidRPr="00A92CED" w:rsidRDefault="00D31FBB" w:rsidP="00D15EFA">
            <w:pPr>
              <w:pStyle w:val="ListParagraph"/>
              <w:numPr>
                <w:ilvl w:val="0"/>
                <w:numId w:val="1"/>
              </w:numPr>
              <w:jc w:val="center"/>
              <w:rPr>
                <w:lang w:val="fr-CA"/>
              </w:rPr>
            </w:pPr>
          </w:p>
        </w:tc>
        <w:tc>
          <w:tcPr>
            <w:tcW w:w="3715" w:type="dxa"/>
          </w:tcPr>
          <w:p w14:paraId="0E08140A" w14:textId="6C35174D" w:rsidR="00D31FBB" w:rsidRPr="00A92CED" w:rsidRDefault="00D31FBB" w:rsidP="00D15EFA">
            <w:pPr>
              <w:rPr>
                <w:rFonts w:ascii="Calibri" w:hAnsi="Calibri" w:cs="Calibri"/>
                <w:lang w:val="fr-CA"/>
              </w:rPr>
            </w:pPr>
            <w:r w:rsidRPr="00A92CED">
              <w:rPr>
                <w:rFonts w:ascii="Calibri" w:hAnsi="Calibri" w:cs="Calibri"/>
                <w:b/>
                <w:bCs/>
                <w:lang w:val="fr-CA"/>
              </w:rPr>
              <w:t xml:space="preserve">511 </w:t>
            </w:r>
            <w:r w:rsidRPr="00A92CED">
              <w:rPr>
                <w:rFonts w:ascii="Calibri" w:hAnsi="Calibri" w:cs="Calibri"/>
                <w:shd w:val="clear" w:color="auto" w:fill="FFFFFF"/>
                <w:lang w:val="fr-CA"/>
              </w:rPr>
              <w:t>Un composant de niveau 2 peut être vendu à l’acheteur qui ne peut établir son identité conformément à l’article 510 si un autre vendeur de composant confirme par écrit que le document d’identité exigé à l’égard de cet acheteur lui a été présenté. La confirmation indique le type de document et son numéro de référence.</w:t>
            </w:r>
          </w:p>
        </w:tc>
        <w:tc>
          <w:tcPr>
            <w:tcW w:w="4097" w:type="dxa"/>
            <w:gridSpan w:val="2"/>
          </w:tcPr>
          <w:p w14:paraId="66F582B8" w14:textId="63C5937A" w:rsidR="00D31FBB" w:rsidRPr="00A92CED" w:rsidRDefault="00D31FBB" w:rsidP="00D15EFA">
            <w:pPr>
              <w:rPr>
                <w:lang w:val="fr-CA"/>
              </w:rPr>
            </w:pPr>
            <w:r w:rsidRPr="00A92CED">
              <w:rPr>
                <w:bCs/>
                <w:lang w:val="fr-CA"/>
              </w:rPr>
              <w:t>Modifier la partie 20 pour supprimer l’article 511.</w:t>
            </w:r>
          </w:p>
        </w:tc>
        <w:tc>
          <w:tcPr>
            <w:tcW w:w="3122" w:type="dxa"/>
          </w:tcPr>
          <w:p w14:paraId="73A4CACC" w14:textId="303D7A31" w:rsidR="00D31FBB" w:rsidRPr="00A92CED" w:rsidRDefault="00D31FBB" w:rsidP="00D15EFA">
            <w:pPr>
              <w:rPr>
                <w:lang w:val="fr-CA"/>
              </w:rPr>
            </w:pPr>
            <w:r w:rsidRPr="00A92CED">
              <w:rPr>
                <w:lang w:val="fr-CA"/>
              </w:rPr>
              <w:t xml:space="preserve">L’amendement proposé appuie l’intention de la politique de faire en sorte que les dispositions soient nécessaires et utiles pour RNCan et qu’elles reflètent les pratiques actuelles. </w:t>
            </w:r>
          </w:p>
        </w:tc>
        <w:tc>
          <w:tcPr>
            <w:tcW w:w="3087" w:type="dxa"/>
          </w:tcPr>
          <w:p w14:paraId="09A43322" w14:textId="77777777" w:rsidR="00D31FBB" w:rsidRPr="00A92CED" w:rsidRDefault="00D31FBB" w:rsidP="00D15EFA">
            <w:pPr>
              <w:rPr>
                <w:lang w:val="fr-CA"/>
              </w:rPr>
            </w:pPr>
          </w:p>
        </w:tc>
      </w:tr>
      <w:tr w:rsidR="00A92CED" w:rsidRPr="00A92CED" w14:paraId="085249CA" w14:textId="7B4A578B" w:rsidTr="00E10233">
        <w:tc>
          <w:tcPr>
            <w:tcW w:w="3126" w:type="dxa"/>
          </w:tcPr>
          <w:p w14:paraId="194EFE94" w14:textId="77777777" w:rsidR="00D31FBB" w:rsidRPr="00A92CED" w:rsidRDefault="00D31FBB" w:rsidP="00D15EFA">
            <w:pPr>
              <w:pStyle w:val="ListParagraph"/>
              <w:numPr>
                <w:ilvl w:val="0"/>
                <w:numId w:val="1"/>
              </w:numPr>
              <w:jc w:val="center"/>
              <w:rPr>
                <w:lang w:val="fr-CA"/>
              </w:rPr>
            </w:pPr>
          </w:p>
        </w:tc>
        <w:tc>
          <w:tcPr>
            <w:tcW w:w="3715" w:type="dxa"/>
          </w:tcPr>
          <w:p w14:paraId="1F375941" w14:textId="393096A9" w:rsidR="00D31FBB" w:rsidRPr="00A92CED" w:rsidRDefault="00D31FBB" w:rsidP="00D15EFA">
            <w:pPr>
              <w:rPr>
                <w:rFonts w:ascii="Calibri" w:hAnsi="Calibri" w:cs="Calibri"/>
                <w:lang w:val="fr-CA"/>
              </w:rPr>
            </w:pPr>
            <w:r w:rsidRPr="00A92CED">
              <w:rPr>
                <w:rFonts w:ascii="Calibri" w:hAnsi="Calibri" w:cs="Calibri"/>
                <w:b/>
                <w:bCs/>
                <w:lang w:val="fr-CA"/>
              </w:rPr>
              <w:t xml:space="preserve">512 </w:t>
            </w:r>
            <w:r w:rsidRPr="00A92CED">
              <w:rPr>
                <w:rFonts w:ascii="Calibri" w:hAnsi="Calibri" w:cs="Calibri"/>
                <w:lang w:val="fr-CA"/>
              </w:rPr>
              <w:t xml:space="preserve">(1) </w:t>
            </w:r>
            <w:r w:rsidRPr="00A92CED">
              <w:rPr>
                <w:rFonts w:ascii="Calibri" w:hAnsi="Calibri" w:cs="Calibri"/>
                <w:shd w:val="clear" w:color="auto" w:fill="FFFFFF"/>
                <w:lang w:val="fr-CA"/>
              </w:rPr>
              <w:t>Pour chaque vente d’un composant de niveau 2, un dossier est créé et conservé pendant deux ans après la date de la vente. Le dossier contient les renseignements et les documents suivants :</w:t>
            </w:r>
          </w:p>
          <w:p w14:paraId="068936C1" w14:textId="7A4220AD" w:rsidR="00D31FBB" w:rsidRPr="00A92CED" w:rsidRDefault="00D31FBB" w:rsidP="00D15EFA">
            <w:pPr>
              <w:ind w:left="720"/>
              <w:rPr>
                <w:lang w:val="fr-CA"/>
              </w:rPr>
            </w:pPr>
            <w:r w:rsidRPr="00A92CED">
              <w:rPr>
                <w:rFonts w:ascii="Calibri" w:hAnsi="Calibri" w:cs="Calibri"/>
                <w:lang w:val="fr-CA"/>
              </w:rPr>
              <w:t xml:space="preserve">j) </w:t>
            </w:r>
            <w:r w:rsidRPr="00A92CED">
              <w:rPr>
                <w:rFonts w:ascii="Calibri" w:hAnsi="Calibri" w:cs="Calibri"/>
                <w:shd w:val="clear" w:color="auto" w:fill="FFFFFF"/>
                <w:lang w:val="fr-CA"/>
              </w:rPr>
              <w:t>dans le cas où le composant a été expédié, la date de réception et la quantité reçue.</w:t>
            </w:r>
          </w:p>
        </w:tc>
        <w:tc>
          <w:tcPr>
            <w:tcW w:w="4097" w:type="dxa"/>
            <w:gridSpan w:val="2"/>
          </w:tcPr>
          <w:p w14:paraId="59064C6C" w14:textId="534C458B" w:rsidR="00D31FBB" w:rsidRPr="00A92CED" w:rsidRDefault="00D31FBB" w:rsidP="00D15EFA">
            <w:pPr>
              <w:rPr>
                <w:lang w:val="fr-CA"/>
              </w:rPr>
            </w:pPr>
            <w:r w:rsidRPr="00A92CED">
              <w:rPr>
                <w:bCs/>
                <w:lang w:val="fr-CA"/>
              </w:rPr>
              <w:t xml:space="preserve">Modifier l’alinéa 512(1)j) pour remplacer le terme </w:t>
            </w:r>
            <w:r w:rsidRPr="00A92CED">
              <w:rPr>
                <w:rFonts w:cstheme="minorHAnsi"/>
                <w:bCs/>
                <w:lang w:val="fr-CA"/>
              </w:rPr>
              <w:t>« quantité reçue </w:t>
            </w:r>
            <w:r w:rsidRPr="00A92CED">
              <w:rPr>
                <w:rFonts w:ascii="Calibri" w:hAnsi="Calibri" w:cs="Calibri"/>
                <w:bCs/>
                <w:lang w:val="fr-CA"/>
              </w:rPr>
              <w:t>» par « quantité livrée ».</w:t>
            </w:r>
          </w:p>
        </w:tc>
        <w:tc>
          <w:tcPr>
            <w:tcW w:w="3122" w:type="dxa"/>
          </w:tcPr>
          <w:p w14:paraId="61AEC1EB" w14:textId="2A4D11C4" w:rsidR="00D31FBB" w:rsidRPr="00A92CED" w:rsidRDefault="00D31FBB" w:rsidP="00D15EFA">
            <w:pPr>
              <w:rPr>
                <w:lang w:val="fr-CA"/>
              </w:rPr>
            </w:pPr>
            <w:r w:rsidRPr="00A92CED">
              <w:rPr>
                <w:lang w:val="fr-CA"/>
              </w:rPr>
              <w:t>Cet amendement proposé appuie l’intention de la politique de clarifier le Règlement.</w:t>
            </w:r>
          </w:p>
        </w:tc>
        <w:tc>
          <w:tcPr>
            <w:tcW w:w="3087" w:type="dxa"/>
          </w:tcPr>
          <w:p w14:paraId="6E0D788A" w14:textId="77777777" w:rsidR="00D31FBB" w:rsidRPr="00A92CED" w:rsidRDefault="00D31FBB" w:rsidP="00D15EFA">
            <w:pPr>
              <w:rPr>
                <w:lang w:val="fr-CA"/>
              </w:rPr>
            </w:pPr>
          </w:p>
        </w:tc>
      </w:tr>
      <w:tr w:rsidR="00A92CED" w:rsidRPr="00A92CED" w14:paraId="1D149292" w14:textId="15D62884" w:rsidTr="00E10233">
        <w:tc>
          <w:tcPr>
            <w:tcW w:w="3126" w:type="dxa"/>
          </w:tcPr>
          <w:p w14:paraId="57E56FB2" w14:textId="77777777" w:rsidR="00D31FBB" w:rsidRPr="00A92CED" w:rsidRDefault="00D31FBB" w:rsidP="00D15EFA">
            <w:pPr>
              <w:pStyle w:val="ListParagraph"/>
              <w:numPr>
                <w:ilvl w:val="0"/>
                <w:numId w:val="1"/>
              </w:numPr>
              <w:jc w:val="center"/>
              <w:rPr>
                <w:lang w:val="fr-CA"/>
              </w:rPr>
            </w:pPr>
          </w:p>
        </w:tc>
        <w:tc>
          <w:tcPr>
            <w:tcW w:w="3715" w:type="dxa"/>
          </w:tcPr>
          <w:p w14:paraId="17FAEB0A" w14:textId="6D5F5905" w:rsidR="00D31FBB" w:rsidRPr="00A92CED" w:rsidRDefault="00D31FBB" w:rsidP="00D15EFA">
            <w:pPr>
              <w:rPr>
                <w:rFonts w:ascii="Calibri" w:hAnsi="Calibri" w:cs="Calibri"/>
                <w:lang w:val="fr-CA"/>
              </w:rPr>
            </w:pPr>
            <w:r w:rsidRPr="00A92CED">
              <w:rPr>
                <w:rFonts w:ascii="Calibri" w:hAnsi="Calibri" w:cs="Calibri"/>
                <w:b/>
                <w:bCs/>
                <w:lang w:val="fr-CA"/>
              </w:rPr>
              <w:t xml:space="preserve">512 </w:t>
            </w:r>
            <w:r w:rsidRPr="00A92CED">
              <w:rPr>
                <w:rFonts w:ascii="Calibri" w:hAnsi="Calibri" w:cs="Calibri"/>
                <w:lang w:val="fr-CA"/>
              </w:rPr>
              <w:t xml:space="preserve">(3) </w:t>
            </w:r>
            <w:r w:rsidRPr="00A92CED">
              <w:rPr>
                <w:rFonts w:ascii="Calibri" w:hAnsi="Calibri" w:cs="Calibri"/>
                <w:shd w:val="clear" w:color="auto" w:fill="FFFFFF"/>
                <w:lang w:val="fr-CA"/>
              </w:rPr>
              <w:t>Le dossier est gardé sous clé lorsqu’il n’est pas utilisé et est uniquement mis à la disposition des personnes qui en ont besoin dans le cadre de leur emploi.</w:t>
            </w:r>
          </w:p>
        </w:tc>
        <w:tc>
          <w:tcPr>
            <w:tcW w:w="4097" w:type="dxa"/>
            <w:gridSpan w:val="2"/>
          </w:tcPr>
          <w:p w14:paraId="10179D47" w14:textId="1DB0A362" w:rsidR="00D31FBB" w:rsidRPr="00A92CED" w:rsidRDefault="00D31FBB" w:rsidP="00D15EFA">
            <w:pPr>
              <w:rPr>
                <w:lang w:val="fr-CA"/>
              </w:rPr>
            </w:pPr>
            <w:r w:rsidRPr="00A92CED">
              <w:rPr>
                <w:bCs/>
                <w:lang w:val="fr-CA"/>
              </w:rPr>
              <w:t>Modifier le paragraphe 512(3) pour préciser que le dossier des ventes doit être inaccessible au public.</w:t>
            </w:r>
          </w:p>
        </w:tc>
        <w:tc>
          <w:tcPr>
            <w:tcW w:w="3122" w:type="dxa"/>
          </w:tcPr>
          <w:p w14:paraId="74F95A92" w14:textId="375C2DF3" w:rsidR="00D31FBB" w:rsidRPr="00A92CED" w:rsidRDefault="00D31FBB" w:rsidP="00D15EFA">
            <w:pPr>
              <w:rPr>
                <w:lang w:val="fr-CA"/>
              </w:rPr>
            </w:pPr>
            <w:r w:rsidRPr="00A92CED">
              <w:rPr>
                <w:lang w:val="fr-CA"/>
              </w:rPr>
              <w:t>L’amendement proposé vise à clarifier l’intention de la politique et à harmoniser cette exigence avec les autres dispositions relatives à la tenue de dossiers prévues dans le Règlement, dont aucune n’exige qu’un dossier soit gardé sous clé.</w:t>
            </w:r>
          </w:p>
        </w:tc>
        <w:tc>
          <w:tcPr>
            <w:tcW w:w="3087" w:type="dxa"/>
          </w:tcPr>
          <w:p w14:paraId="53DD1676" w14:textId="77777777" w:rsidR="00D31FBB" w:rsidRPr="00A92CED" w:rsidRDefault="00D31FBB" w:rsidP="00D15EFA">
            <w:pPr>
              <w:rPr>
                <w:lang w:val="fr-CA"/>
              </w:rPr>
            </w:pPr>
          </w:p>
        </w:tc>
      </w:tr>
      <w:tr w:rsidR="00A92CED" w:rsidRPr="00A92CED" w14:paraId="395721FC" w14:textId="63B383C8" w:rsidTr="00E10233">
        <w:tc>
          <w:tcPr>
            <w:tcW w:w="3126" w:type="dxa"/>
          </w:tcPr>
          <w:p w14:paraId="3947A483" w14:textId="77777777" w:rsidR="00D31FBB" w:rsidRPr="00A92CED" w:rsidRDefault="00D31FBB" w:rsidP="00D15EFA">
            <w:pPr>
              <w:pStyle w:val="ListParagraph"/>
              <w:numPr>
                <w:ilvl w:val="0"/>
                <w:numId w:val="1"/>
              </w:numPr>
              <w:jc w:val="center"/>
              <w:rPr>
                <w:lang w:val="fr-CA"/>
              </w:rPr>
            </w:pPr>
          </w:p>
        </w:tc>
        <w:tc>
          <w:tcPr>
            <w:tcW w:w="3715" w:type="dxa"/>
          </w:tcPr>
          <w:p w14:paraId="0C7EF548" w14:textId="4F147917" w:rsidR="00D31FBB" w:rsidRPr="00A92CED" w:rsidRDefault="00D31FBB" w:rsidP="00D15EFA">
            <w:pPr>
              <w:rPr>
                <w:rFonts w:ascii="Calibri" w:hAnsi="Calibri" w:cs="Calibri"/>
                <w:lang w:val="fr-CA"/>
              </w:rPr>
            </w:pPr>
            <w:r w:rsidRPr="00A92CED">
              <w:rPr>
                <w:rFonts w:ascii="Calibri" w:hAnsi="Calibri" w:cs="Calibri"/>
                <w:b/>
                <w:bCs/>
                <w:lang w:val="fr-CA"/>
              </w:rPr>
              <w:t xml:space="preserve">514 </w:t>
            </w:r>
            <w:r w:rsidRPr="00A92CED">
              <w:rPr>
                <w:rFonts w:ascii="Calibri" w:hAnsi="Calibri" w:cs="Calibri"/>
                <w:lang w:val="fr-CA"/>
              </w:rPr>
              <w:t xml:space="preserve">(1) </w:t>
            </w:r>
            <w:r w:rsidRPr="00A92CED">
              <w:rPr>
                <w:rFonts w:ascii="Calibri" w:hAnsi="Calibri" w:cs="Calibri"/>
                <w:shd w:val="clear" w:color="auto" w:fill="FFFFFF"/>
                <w:lang w:val="fr-CA"/>
              </w:rPr>
              <w:t xml:space="preserve">L’inspecteur en chef des explosifs peut suspendre l’inscription du vendeur de composant ou du vendeur de produit qui omet de se conformer à la </w:t>
            </w:r>
            <w:r w:rsidRPr="00A92CED">
              <w:rPr>
                <w:rFonts w:ascii="Calibri" w:hAnsi="Calibri" w:cs="Calibri"/>
                <w:i/>
                <w:iCs/>
                <w:shd w:val="clear" w:color="auto" w:fill="FFFFFF"/>
                <w:lang w:val="fr-CA"/>
              </w:rPr>
              <w:t>Loi sur les explosifs</w:t>
            </w:r>
            <w:r w:rsidRPr="00A92CED">
              <w:rPr>
                <w:rFonts w:ascii="Calibri" w:hAnsi="Calibri" w:cs="Calibri"/>
                <w:shd w:val="clear" w:color="auto" w:fill="FFFFFF"/>
                <w:lang w:val="fr-CA"/>
              </w:rPr>
              <w:t> ou au présent règlement. La suspension s’applique tant que le vendeur de composant ou le vendeur de produit ne s’est pas conformé.</w:t>
            </w:r>
          </w:p>
        </w:tc>
        <w:tc>
          <w:tcPr>
            <w:tcW w:w="4097" w:type="dxa"/>
            <w:gridSpan w:val="2"/>
          </w:tcPr>
          <w:p w14:paraId="7D948DC4" w14:textId="694B856D" w:rsidR="00D31FBB" w:rsidRPr="00A92CED" w:rsidRDefault="00D31FBB" w:rsidP="00D15EFA">
            <w:pPr>
              <w:rPr>
                <w:lang w:val="fr-CA"/>
              </w:rPr>
            </w:pPr>
            <w:r w:rsidRPr="00A92CED">
              <w:rPr>
                <w:bCs/>
                <w:lang w:val="fr-CA"/>
              </w:rPr>
              <w:t xml:space="preserve">Modifier la première phrase du paragraphe 514(1) pour préciser que l’inspecteur en chef des explosifs peut suspendre ou annuler l’inscription du vendeur de composant ou du vendeur de produit qui omet de se conformer à la </w:t>
            </w:r>
            <w:r w:rsidRPr="00A92CED">
              <w:rPr>
                <w:rFonts w:ascii="Calibri" w:hAnsi="Calibri" w:cs="Calibri"/>
                <w:i/>
                <w:iCs/>
                <w:lang w:val="fr-CA"/>
              </w:rPr>
              <w:t xml:space="preserve">Loi sur les explosifs </w:t>
            </w:r>
            <w:r w:rsidRPr="00A92CED">
              <w:rPr>
                <w:rFonts w:ascii="Calibri" w:hAnsi="Calibri" w:cs="Calibri"/>
                <w:lang w:val="fr-CA"/>
              </w:rPr>
              <w:t>ou au présent règlement.</w:t>
            </w:r>
          </w:p>
        </w:tc>
        <w:tc>
          <w:tcPr>
            <w:tcW w:w="3122" w:type="dxa"/>
          </w:tcPr>
          <w:p w14:paraId="470F8466" w14:textId="16E6A47A" w:rsidR="00D31FBB" w:rsidRPr="00A92CED" w:rsidRDefault="00D31FBB" w:rsidP="00D15EFA">
            <w:pPr>
              <w:rPr>
                <w:lang w:val="fr-CA"/>
              </w:rPr>
            </w:pPr>
            <w:r w:rsidRPr="00A92CED">
              <w:rPr>
                <w:lang w:val="fr-CA"/>
              </w:rPr>
              <w:t xml:space="preserve">L’amendement proposé appuie l’intention de la politique d’actualiser la terminologie utilisée dans le Règlement afin qu’elle reflète les pratiques actuelles. Il n’existe pas de liste de vendeurs de composants ou de vendeurs de produits. RNCan utilise plutôt le terme </w:t>
            </w:r>
            <w:r w:rsidRPr="00A92CED">
              <w:rPr>
                <w:rFonts w:cstheme="minorHAnsi"/>
                <w:lang w:val="fr-CA"/>
              </w:rPr>
              <w:t>« inscription </w:t>
            </w:r>
            <w:r w:rsidRPr="00A92CED">
              <w:rPr>
                <w:rFonts w:ascii="Calibri" w:hAnsi="Calibri" w:cs="Calibri"/>
                <w:lang w:val="fr-CA"/>
              </w:rPr>
              <w:t>».</w:t>
            </w:r>
          </w:p>
        </w:tc>
        <w:tc>
          <w:tcPr>
            <w:tcW w:w="3087" w:type="dxa"/>
          </w:tcPr>
          <w:p w14:paraId="78D38477" w14:textId="77777777" w:rsidR="00D31FBB" w:rsidRPr="00A92CED" w:rsidRDefault="00D31FBB" w:rsidP="00D15EFA">
            <w:pPr>
              <w:rPr>
                <w:lang w:val="fr-CA"/>
              </w:rPr>
            </w:pPr>
          </w:p>
        </w:tc>
      </w:tr>
      <w:tr w:rsidR="00A92CED" w:rsidRPr="00A92CED" w14:paraId="77910129" w14:textId="658DD040" w:rsidTr="00E10233">
        <w:tc>
          <w:tcPr>
            <w:tcW w:w="3126" w:type="dxa"/>
          </w:tcPr>
          <w:p w14:paraId="5EBF8DB9" w14:textId="77777777" w:rsidR="00D31FBB" w:rsidRPr="00A92CED" w:rsidRDefault="00D31FBB" w:rsidP="00D15EFA">
            <w:pPr>
              <w:pStyle w:val="ListParagraph"/>
              <w:numPr>
                <w:ilvl w:val="0"/>
                <w:numId w:val="1"/>
              </w:numPr>
              <w:jc w:val="center"/>
              <w:rPr>
                <w:lang w:val="fr-CA"/>
              </w:rPr>
            </w:pPr>
          </w:p>
        </w:tc>
        <w:tc>
          <w:tcPr>
            <w:tcW w:w="3715" w:type="dxa"/>
          </w:tcPr>
          <w:p w14:paraId="04910A7A" w14:textId="538B0D67" w:rsidR="00D31FBB" w:rsidRPr="00A92CED" w:rsidRDefault="00D31FBB" w:rsidP="00D15EFA">
            <w:pPr>
              <w:pStyle w:val="section"/>
              <w:shd w:val="clear" w:color="auto" w:fill="FFFFFF"/>
              <w:spacing w:before="0" w:beforeAutospacing="0" w:after="0" w:afterAutospacing="0"/>
              <w:rPr>
                <w:rFonts w:ascii="Calibri" w:hAnsi="Calibri" w:cs="Calibri"/>
                <w:sz w:val="22"/>
                <w:szCs w:val="22"/>
                <w:lang w:val="fr-CA"/>
              </w:rPr>
            </w:pPr>
            <w:r w:rsidRPr="00A92CED">
              <w:rPr>
                <w:rFonts w:ascii="Calibri" w:hAnsi="Calibri" w:cs="Calibri"/>
                <w:b/>
                <w:bCs/>
                <w:sz w:val="22"/>
                <w:szCs w:val="22"/>
                <w:lang w:val="fr-CA"/>
              </w:rPr>
              <w:t xml:space="preserve">519 </w:t>
            </w:r>
            <w:r w:rsidRPr="00A92CED">
              <w:rPr>
                <w:rFonts w:ascii="Calibri" w:hAnsi="Calibri" w:cs="Calibri"/>
                <w:sz w:val="22"/>
                <w:szCs w:val="22"/>
                <w:lang w:val="fr-CA"/>
              </w:rPr>
              <w:t>En cas de vol, d’altération ou de tentative de vol d’un composant de niveau 3 :</w:t>
            </w:r>
          </w:p>
          <w:p w14:paraId="4B4B8E6F" w14:textId="77777777" w:rsidR="00D31FBB" w:rsidRPr="00A92CED" w:rsidRDefault="00D31FBB" w:rsidP="00D15EFA">
            <w:pPr>
              <w:pStyle w:val="paragraph"/>
              <w:shd w:val="clear" w:color="auto" w:fill="FFFFFF"/>
              <w:spacing w:before="0" w:beforeAutospacing="0" w:after="0" w:afterAutospacing="0"/>
              <w:ind w:left="720"/>
              <w:rPr>
                <w:rFonts w:ascii="Calibri" w:hAnsi="Calibri" w:cs="Calibri"/>
                <w:sz w:val="22"/>
                <w:szCs w:val="22"/>
                <w:lang w:val="fr-CA"/>
              </w:rPr>
            </w:pPr>
            <w:r w:rsidRPr="00A92CED">
              <w:rPr>
                <w:rStyle w:val="lawlabel"/>
                <w:rFonts w:ascii="Calibri" w:hAnsi="Calibri" w:cs="Calibri"/>
                <w:sz w:val="22"/>
                <w:szCs w:val="22"/>
                <w:lang w:val="fr-CA"/>
              </w:rPr>
              <w:t>a)</w:t>
            </w:r>
            <w:r w:rsidRPr="00A92CED">
              <w:rPr>
                <w:rFonts w:ascii="Calibri" w:hAnsi="Calibri" w:cs="Calibri"/>
                <w:sz w:val="22"/>
                <w:szCs w:val="22"/>
                <w:lang w:val="fr-CA"/>
              </w:rPr>
              <w:t> le service de police local en est informé sans délai;</w:t>
            </w:r>
          </w:p>
          <w:p w14:paraId="2CA4274B" w14:textId="2BA10524" w:rsidR="00D31FBB" w:rsidRPr="00A92CED" w:rsidRDefault="00D31FBB" w:rsidP="00D15EFA">
            <w:pPr>
              <w:pStyle w:val="paragraph"/>
              <w:shd w:val="clear" w:color="auto" w:fill="FFFFFF"/>
              <w:spacing w:before="0" w:beforeAutospacing="0" w:after="0" w:afterAutospacing="0"/>
              <w:ind w:left="720"/>
              <w:rPr>
                <w:rFonts w:ascii="Calibri" w:hAnsi="Calibri" w:cs="Calibri"/>
                <w:sz w:val="22"/>
                <w:szCs w:val="22"/>
                <w:lang w:val="fr-CA"/>
              </w:rPr>
            </w:pPr>
            <w:r w:rsidRPr="00A92CED">
              <w:rPr>
                <w:rStyle w:val="lawlabel"/>
                <w:rFonts w:ascii="Calibri" w:hAnsi="Calibri" w:cs="Calibri"/>
                <w:sz w:val="22"/>
                <w:szCs w:val="22"/>
                <w:lang w:val="fr-CA"/>
              </w:rPr>
              <w:lastRenderedPageBreak/>
              <w:t>b)</w:t>
            </w:r>
            <w:r w:rsidRPr="00A92CED">
              <w:rPr>
                <w:rFonts w:ascii="Calibri" w:hAnsi="Calibri" w:cs="Calibri"/>
                <w:sz w:val="22"/>
                <w:szCs w:val="22"/>
                <w:lang w:val="fr-CA"/>
              </w:rPr>
              <w:t> l’inspecteur en chef des explosifs en est informé dans les vingt-quatre heures qui suivent la découverte de l’incident;</w:t>
            </w:r>
          </w:p>
          <w:p w14:paraId="75ACCF7D" w14:textId="7FFAC061" w:rsidR="00D31FBB" w:rsidRPr="00A92CED" w:rsidRDefault="00D31FBB" w:rsidP="00D15EFA">
            <w:pPr>
              <w:pStyle w:val="paragraph"/>
              <w:shd w:val="clear" w:color="auto" w:fill="FFFFFF"/>
              <w:spacing w:before="0" w:beforeAutospacing="0" w:after="0" w:afterAutospacing="0"/>
              <w:ind w:left="720"/>
              <w:rPr>
                <w:rFonts w:ascii="Helvetica" w:hAnsi="Helvetica" w:cs="Helvetica"/>
                <w:lang w:val="fr-CA"/>
              </w:rPr>
            </w:pPr>
            <w:r w:rsidRPr="00A92CED">
              <w:rPr>
                <w:rStyle w:val="lawlabel"/>
                <w:rFonts w:ascii="Calibri" w:hAnsi="Calibri" w:cs="Calibri"/>
                <w:sz w:val="22"/>
                <w:szCs w:val="22"/>
                <w:lang w:val="fr-CA"/>
              </w:rPr>
              <w:t>c)</w:t>
            </w:r>
            <w:r w:rsidRPr="00A92CED">
              <w:rPr>
                <w:rFonts w:ascii="Calibri" w:hAnsi="Calibri" w:cs="Calibri"/>
                <w:sz w:val="22"/>
                <w:szCs w:val="22"/>
                <w:lang w:val="fr-CA"/>
              </w:rPr>
              <w:t> un rapport écrit est présenté dès que possible à l’inspecteur en chef des explosifs.</w:t>
            </w:r>
          </w:p>
        </w:tc>
        <w:tc>
          <w:tcPr>
            <w:tcW w:w="4097" w:type="dxa"/>
            <w:gridSpan w:val="2"/>
          </w:tcPr>
          <w:p w14:paraId="4B8FC351" w14:textId="4B4230FB" w:rsidR="00D31FBB" w:rsidRPr="00A92CED" w:rsidRDefault="00D31FBB" w:rsidP="00D15EFA">
            <w:pPr>
              <w:rPr>
                <w:rFonts w:ascii="Calibri" w:hAnsi="Calibri" w:cs="Calibri"/>
                <w:lang w:val="fr-CA"/>
              </w:rPr>
            </w:pPr>
            <w:r w:rsidRPr="00A92CED">
              <w:rPr>
                <w:rFonts w:ascii="Calibri" w:hAnsi="Calibri" w:cs="Calibri"/>
                <w:lang w:val="fr-CA"/>
              </w:rPr>
              <w:lastRenderedPageBreak/>
              <w:t>Modifier l’article 519 pour préciser qu’en cas de vol, d’altération ou de tentative de vol d’un composant de niveau 3 :</w:t>
            </w:r>
          </w:p>
          <w:p w14:paraId="6544C92C" w14:textId="6EBCB6A1" w:rsidR="00D31FBB" w:rsidRPr="00A92CED" w:rsidRDefault="00D31FBB" w:rsidP="00D15EFA">
            <w:pPr>
              <w:pStyle w:val="ListParagraph"/>
              <w:numPr>
                <w:ilvl w:val="0"/>
                <w:numId w:val="30"/>
              </w:numPr>
              <w:rPr>
                <w:bCs/>
                <w:lang w:val="fr-CA"/>
              </w:rPr>
            </w:pPr>
            <w:r w:rsidRPr="00A92CED">
              <w:rPr>
                <w:rFonts w:ascii="Calibri" w:hAnsi="Calibri" w:cs="Calibri"/>
                <w:lang w:val="fr-CA"/>
              </w:rPr>
              <w:t>le service de police local en est informé sans délai;</w:t>
            </w:r>
          </w:p>
          <w:p w14:paraId="01A0F416" w14:textId="551BF7A8" w:rsidR="00D31FBB" w:rsidRPr="00A92CED" w:rsidRDefault="00D31FBB" w:rsidP="00D15EFA">
            <w:pPr>
              <w:pStyle w:val="ListParagraph"/>
              <w:numPr>
                <w:ilvl w:val="0"/>
                <w:numId w:val="30"/>
              </w:numPr>
              <w:rPr>
                <w:lang w:val="fr-CA"/>
              </w:rPr>
            </w:pPr>
            <w:r w:rsidRPr="00A92CED">
              <w:rPr>
                <w:rFonts w:ascii="Calibri" w:hAnsi="Calibri" w:cs="Calibri"/>
                <w:lang w:val="fr-CA"/>
              </w:rPr>
              <w:lastRenderedPageBreak/>
              <w:t>un rapport écrit est présenté à l’inspecteur en chef des explosifs dans les vingt-quatre heures qui suivent la découverte de l’incident.</w:t>
            </w:r>
          </w:p>
        </w:tc>
        <w:tc>
          <w:tcPr>
            <w:tcW w:w="3122" w:type="dxa"/>
          </w:tcPr>
          <w:p w14:paraId="16C0A545" w14:textId="0C38CC1B" w:rsidR="00D31FBB" w:rsidRPr="00A92CED" w:rsidRDefault="00D31FBB" w:rsidP="00D15EFA">
            <w:pPr>
              <w:rPr>
                <w:lang w:val="fr-CA"/>
              </w:rPr>
            </w:pPr>
            <w:r w:rsidRPr="00A92CED">
              <w:rPr>
                <w:lang w:val="fr-CA"/>
              </w:rPr>
              <w:lastRenderedPageBreak/>
              <w:t xml:space="preserve">Cet amendement proposé simplifierait le processus global de rapport en harmonisant les exigences d’établissement de rapports prévues à l’article 519 </w:t>
            </w:r>
            <w:r w:rsidRPr="00A92CED">
              <w:rPr>
                <w:lang w:val="fr-CA"/>
              </w:rPr>
              <w:lastRenderedPageBreak/>
              <w:t>pour les composants de niveau 3 avec celles prévues à l’article 480 pour les composants de niveau 1. De même, les amendements proposés au point 177 du présent document de consultation permettraient d’harmoniser les exigences d’établissement de rapports prévues à l’article 508 pour les composants de niveau 2 avec les articles 480 et 519.</w:t>
            </w:r>
          </w:p>
        </w:tc>
        <w:tc>
          <w:tcPr>
            <w:tcW w:w="3087" w:type="dxa"/>
          </w:tcPr>
          <w:p w14:paraId="0C7B0D61" w14:textId="77777777" w:rsidR="00D31FBB" w:rsidRPr="00A92CED" w:rsidRDefault="00D31FBB" w:rsidP="00D15EFA">
            <w:pPr>
              <w:rPr>
                <w:lang w:val="fr-CA"/>
              </w:rPr>
            </w:pPr>
          </w:p>
        </w:tc>
      </w:tr>
    </w:tbl>
    <w:p w14:paraId="253DE9A8" w14:textId="77777777" w:rsidR="00D335B4" w:rsidRPr="00A92CED" w:rsidRDefault="00D335B4" w:rsidP="005A6A41">
      <w:pPr>
        <w:spacing w:after="0" w:line="240" w:lineRule="auto"/>
        <w:rPr>
          <w:lang w:val="fr-CA"/>
        </w:rPr>
      </w:pPr>
    </w:p>
    <w:sectPr w:rsidR="00D335B4" w:rsidRPr="00A92CED" w:rsidSect="00FA05FB">
      <w:headerReference w:type="default" r:id="rId8"/>
      <w:footerReference w:type="default" r:id="rId9"/>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4481" w14:textId="77777777" w:rsidR="00CC3578" w:rsidRDefault="00CC3578" w:rsidP="00ED04F6">
      <w:pPr>
        <w:spacing w:after="0" w:line="240" w:lineRule="auto"/>
      </w:pPr>
      <w:r>
        <w:separator/>
      </w:r>
    </w:p>
  </w:endnote>
  <w:endnote w:type="continuationSeparator" w:id="0">
    <w:p w14:paraId="3E3F0B75" w14:textId="77777777" w:rsidR="00CC3578" w:rsidRDefault="00CC3578" w:rsidP="00ED04F6">
      <w:pPr>
        <w:spacing w:after="0" w:line="240" w:lineRule="auto"/>
      </w:pPr>
      <w:r>
        <w:continuationSeparator/>
      </w:r>
    </w:p>
  </w:endnote>
  <w:endnote w:type="continuationNotice" w:id="1">
    <w:p w14:paraId="15B05144" w14:textId="77777777" w:rsidR="00CC3578" w:rsidRDefault="00CC3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0" w:usb1="08070000" w:usb2="00000010" w:usb3="00000000" w:csb0="00020000" w:csb1="00000000"/>
  </w:font>
  <w:font w:name="UniversLTStd-Black">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UniversLTStd-Obl">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LTStd-BoldObl">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699288"/>
      <w:docPartObj>
        <w:docPartGallery w:val="Page Numbers (Bottom of Page)"/>
        <w:docPartUnique/>
      </w:docPartObj>
    </w:sdtPr>
    <w:sdtEndPr>
      <w:rPr>
        <w:noProof/>
      </w:rPr>
    </w:sdtEndPr>
    <w:sdtContent>
      <w:p w14:paraId="52AFF45D" w14:textId="184A0894" w:rsidR="00033C43" w:rsidRDefault="00033C43">
        <w:pPr>
          <w:pStyle w:val="Footer"/>
          <w:jc w:val="center"/>
        </w:pPr>
        <w:r>
          <w:fldChar w:fldCharType="begin"/>
        </w:r>
        <w:r>
          <w:instrText xml:space="preserve"> PAGE   \* MERGEFORMAT </w:instrText>
        </w:r>
        <w:r>
          <w:fldChar w:fldCharType="separate"/>
        </w:r>
        <w:r w:rsidR="003E25D3">
          <w:rPr>
            <w:noProof/>
          </w:rPr>
          <w:t>97</w:t>
        </w:r>
        <w:r>
          <w:rPr>
            <w:noProof/>
          </w:rPr>
          <w:fldChar w:fldCharType="end"/>
        </w:r>
      </w:p>
    </w:sdtContent>
  </w:sdt>
  <w:p w14:paraId="046BF3AF" w14:textId="77777777" w:rsidR="00033C43" w:rsidRDefault="0003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3C4C" w14:textId="77777777" w:rsidR="00CC3578" w:rsidRDefault="00CC3578" w:rsidP="00ED04F6">
      <w:pPr>
        <w:spacing w:after="0" w:line="240" w:lineRule="auto"/>
      </w:pPr>
      <w:r>
        <w:separator/>
      </w:r>
    </w:p>
  </w:footnote>
  <w:footnote w:type="continuationSeparator" w:id="0">
    <w:p w14:paraId="7FF7D222" w14:textId="77777777" w:rsidR="00CC3578" w:rsidRDefault="00CC3578" w:rsidP="00ED04F6">
      <w:pPr>
        <w:spacing w:after="0" w:line="240" w:lineRule="auto"/>
      </w:pPr>
      <w:r>
        <w:continuationSeparator/>
      </w:r>
    </w:p>
  </w:footnote>
  <w:footnote w:type="continuationNotice" w:id="1">
    <w:p w14:paraId="401EB9AC" w14:textId="77777777" w:rsidR="00CC3578" w:rsidRDefault="00CC35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0F75" w14:textId="17551EE6" w:rsidR="00033C43" w:rsidRDefault="00A92CED" w:rsidP="00E37311">
    <w:pPr>
      <w:pStyle w:val="Header"/>
      <w:jc w:val="right"/>
    </w:pPr>
    <w:r>
      <w:t>11 mai</w:t>
    </w:r>
    <w:r w:rsidR="00033C43">
      <w:rPr>
        <w:rStyle w:val="Emphasis"/>
        <w:rFonts w:ascii="Arial" w:hAnsi="Arial" w:cs="Arial"/>
        <w:b/>
        <w:bCs/>
        <w:i w:val="0"/>
        <w:iCs w:val="0"/>
        <w:color w:val="5F6368"/>
        <w:sz w:val="21"/>
        <w:szCs w:val="21"/>
        <w:shd w:val="clear" w:color="auto" w:fill="FFFFFF"/>
      </w:rPr>
      <w:t xml:space="preserve"> </w:t>
    </w:r>
    <w:r w:rsidR="00033C43">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F08"/>
    <w:multiLevelType w:val="hybridMultilevel"/>
    <w:tmpl w:val="BE4C104C"/>
    <w:lvl w:ilvl="0" w:tplc="65ACEEE0">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D01E6B"/>
    <w:multiLevelType w:val="hybridMultilevel"/>
    <w:tmpl w:val="8618E298"/>
    <w:lvl w:ilvl="0" w:tplc="3440E576">
      <w:start w:val="2"/>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9B4267"/>
    <w:multiLevelType w:val="hybridMultilevel"/>
    <w:tmpl w:val="A52ADD44"/>
    <w:lvl w:ilvl="0" w:tplc="72ACBE94">
      <w:start w:val="45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C111A6"/>
    <w:multiLevelType w:val="hybridMultilevel"/>
    <w:tmpl w:val="C85610CE"/>
    <w:lvl w:ilvl="0" w:tplc="22F2FEB4">
      <w:start w:val="306"/>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6C432E"/>
    <w:multiLevelType w:val="hybridMultilevel"/>
    <w:tmpl w:val="C9C2D656"/>
    <w:lvl w:ilvl="0" w:tplc="DF44B8BE">
      <w:start w:val="14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A91AD1"/>
    <w:multiLevelType w:val="hybridMultilevel"/>
    <w:tmpl w:val="D4A8B46C"/>
    <w:lvl w:ilvl="0" w:tplc="1C5418AC">
      <w:start w:val="2"/>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8C275BE"/>
    <w:multiLevelType w:val="hybridMultilevel"/>
    <w:tmpl w:val="2CC6F1BA"/>
    <w:lvl w:ilvl="0" w:tplc="6F8CA8AA">
      <w:start w:val="2"/>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D8B0417"/>
    <w:multiLevelType w:val="hybridMultilevel"/>
    <w:tmpl w:val="440E5F8C"/>
    <w:lvl w:ilvl="0" w:tplc="65ACEEE0">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485591"/>
    <w:multiLevelType w:val="hybridMultilevel"/>
    <w:tmpl w:val="36188B8E"/>
    <w:lvl w:ilvl="0" w:tplc="8DB4A344">
      <w:start w:val="1"/>
      <w:numFmt w:val="bullet"/>
      <w:lvlText w:val="-"/>
      <w:lvlJc w:val="left"/>
      <w:pPr>
        <w:ind w:left="720" w:hanging="360"/>
      </w:pPr>
      <w:rPr>
        <w:rFonts w:ascii="Calibri" w:eastAsiaTheme="minorHAnsi" w:hAnsi="Calibri" w:cs="Calibri" w:hint="default"/>
      </w:rPr>
    </w:lvl>
    <w:lvl w:ilvl="1" w:tplc="0C3A7084" w:tentative="1">
      <w:start w:val="1"/>
      <w:numFmt w:val="bullet"/>
      <w:lvlText w:val="o"/>
      <w:lvlJc w:val="left"/>
      <w:pPr>
        <w:ind w:left="1440" w:hanging="360"/>
      </w:pPr>
      <w:rPr>
        <w:rFonts w:ascii="Courier New" w:hAnsi="Courier New" w:cs="Courier New" w:hint="default"/>
      </w:rPr>
    </w:lvl>
    <w:lvl w:ilvl="2" w:tplc="DDFE144A" w:tentative="1">
      <w:start w:val="1"/>
      <w:numFmt w:val="bullet"/>
      <w:lvlText w:val=""/>
      <w:lvlJc w:val="left"/>
      <w:pPr>
        <w:ind w:left="2160" w:hanging="360"/>
      </w:pPr>
      <w:rPr>
        <w:rFonts w:ascii="Wingdings" w:hAnsi="Wingdings" w:hint="default"/>
      </w:rPr>
    </w:lvl>
    <w:lvl w:ilvl="3" w:tplc="D7381930" w:tentative="1">
      <w:start w:val="1"/>
      <w:numFmt w:val="bullet"/>
      <w:lvlText w:val=""/>
      <w:lvlJc w:val="left"/>
      <w:pPr>
        <w:ind w:left="2880" w:hanging="360"/>
      </w:pPr>
      <w:rPr>
        <w:rFonts w:ascii="Symbol" w:hAnsi="Symbol" w:hint="default"/>
      </w:rPr>
    </w:lvl>
    <w:lvl w:ilvl="4" w:tplc="89ACF446" w:tentative="1">
      <w:start w:val="1"/>
      <w:numFmt w:val="bullet"/>
      <w:lvlText w:val="o"/>
      <w:lvlJc w:val="left"/>
      <w:pPr>
        <w:ind w:left="3600" w:hanging="360"/>
      </w:pPr>
      <w:rPr>
        <w:rFonts w:ascii="Courier New" w:hAnsi="Courier New" w:cs="Courier New" w:hint="default"/>
      </w:rPr>
    </w:lvl>
    <w:lvl w:ilvl="5" w:tplc="A9F48220" w:tentative="1">
      <w:start w:val="1"/>
      <w:numFmt w:val="bullet"/>
      <w:lvlText w:val=""/>
      <w:lvlJc w:val="left"/>
      <w:pPr>
        <w:ind w:left="4320" w:hanging="360"/>
      </w:pPr>
      <w:rPr>
        <w:rFonts w:ascii="Wingdings" w:hAnsi="Wingdings" w:hint="default"/>
      </w:rPr>
    </w:lvl>
    <w:lvl w:ilvl="6" w:tplc="956CFA8A" w:tentative="1">
      <w:start w:val="1"/>
      <w:numFmt w:val="bullet"/>
      <w:lvlText w:val=""/>
      <w:lvlJc w:val="left"/>
      <w:pPr>
        <w:ind w:left="5040" w:hanging="360"/>
      </w:pPr>
      <w:rPr>
        <w:rFonts w:ascii="Symbol" w:hAnsi="Symbol" w:hint="default"/>
      </w:rPr>
    </w:lvl>
    <w:lvl w:ilvl="7" w:tplc="3A4C06D2" w:tentative="1">
      <w:start w:val="1"/>
      <w:numFmt w:val="bullet"/>
      <w:lvlText w:val="o"/>
      <w:lvlJc w:val="left"/>
      <w:pPr>
        <w:ind w:left="5760" w:hanging="360"/>
      </w:pPr>
      <w:rPr>
        <w:rFonts w:ascii="Courier New" w:hAnsi="Courier New" w:cs="Courier New" w:hint="default"/>
      </w:rPr>
    </w:lvl>
    <w:lvl w:ilvl="8" w:tplc="2658787C" w:tentative="1">
      <w:start w:val="1"/>
      <w:numFmt w:val="bullet"/>
      <w:lvlText w:val=""/>
      <w:lvlJc w:val="left"/>
      <w:pPr>
        <w:ind w:left="6480" w:hanging="360"/>
      </w:pPr>
      <w:rPr>
        <w:rFonts w:ascii="Wingdings" w:hAnsi="Wingdings" w:hint="default"/>
      </w:rPr>
    </w:lvl>
  </w:abstractNum>
  <w:abstractNum w:abstractNumId="9" w15:restartNumberingAfterBreak="0">
    <w:nsid w:val="26FD6DCF"/>
    <w:multiLevelType w:val="hybridMultilevel"/>
    <w:tmpl w:val="9C86284A"/>
    <w:lvl w:ilvl="0" w:tplc="DC1CDEF2">
      <w:start w:val="94"/>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C61E3E"/>
    <w:multiLevelType w:val="hybridMultilevel"/>
    <w:tmpl w:val="E5F6ADBE"/>
    <w:lvl w:ilvl="0" w:tplc="65ACEEE0">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235CD3"/>
    <w:multiLevelType w:val="hybridMultilevel"/>
    <w:tmpl w:val="F664DCB8"/>
    <w:lvl w:ilvl="0" w:tplc="40960D90">
      <w:start w:val="2"/>
      <w:numFmt w:val="bullet"/>
      <w:lvlText w:val="-"/>
      <w:lvlJc w:val="left"/>
      <w:pPr>
        <w:ind w:left="720" w:hanging="360"/>
      </w:pPr>
      <w:rPr>
        <w:rFonts w:ascii="Calibri" w:eastAsiaTheme="minorHAnsi" w:hAnsi="Calibri" w:cs="Calibri"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0723BE"/>
    <w:multiLevelType w:val="hybridMultilevel"/>
    <w:tmpl w:val="7E0400F2"/>
    <w:lvl w:ilvl="0" w:tplc="C14E6E22">
      <w:start w:val="15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9873488"/>
    <w:multiLevelType w:val="hybridMultilevel"/>
    <w:tmpl w:val="BC663D4C"/>
    <w:lvl w:ilvl="0" w:tplc="31029098">
      <w:start w:val="2"/>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BC66B91"/>
    <w:multiLevelType w:val="hybridMultilevel"/>
    <w:tmpl w:val="0BB21A9C"/>
    <w:lvl w:ilvl="0" w:tplc="F7B0E4FC">
      <w:start w:val="1"/>
      <w:numFmt w:val="lowerLetter"/>
      <w:lvlText w:val="(%1)"/>
      <w:lvlJc w:val="left"/>
      <w:pPr>
        <w:ind w:left="360" w:hanging="360"/>
      </w:pPr>
      <w:rPr>
        <w:rFonts w:hint="default"/>
        <w:b/>
      </w:rPr>
    </w:lvl>
    <w:lvl w:ilvl="1" w:tplc="10090003">
      <w:start w:val="1"/>
      <w:numFmt w:val="bullet"/>
      <w:lvlText w:val="o"/>
      <w:lvlJc w:val="left"/>
      <w:pPr>
        <w:ind w:left="1080" w:hanging="360"/>
      </w:pPr>
      <w:rPr>
        <w:rFonts w:ascii="Courier New" w:hAnsi="Courier New" w:cs="Courier New"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D3721F6"/>
    <w:multiLevelType w:val="hybridMultilevel"/>
    <w:tmpl w:val="A22AB654"/>
    <w:lvl w:ilvl="0" w:tplc="64A0BE0C">
      <w:start w:val="2"/>
      <w:numFmt w:val="bullet"/>
      <w:lvlText w:val="-"/>
      <w:lvlJc w:val="left"/>
      <w:pPr>
        <w:ind w:left="720" w:hanging="360"/>
      </w:pPr>
      <w:rPr>
        <w:rFonts w:ascii="Calibri" w:eastAsiaTheme="minorHAnsi" w:hAnsi="Calibri" w:cs="Calibri" w:hint="default"/>
        <w:lang w:val="fr-C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B41AF2"/>
    <w:multiLevelType w:val="hybridMultilevel"/>
    <w:tmpl w:val="B3683DC4"/>
    <w:lvl w:ilvl="0" w:tplc="2A44C550">
      <w:start w:val="1"/>
      <w:numFmt w:val="bullet"/>
      <w:lvlText w:val="-"/>
      <w:lvlJc w:val="left"/>
      <w:pPr>
        <w:ind w:left="1080" w:hanging="360"/>
      </w:pPr>
      <w:rPr>
        <w:rFonts w:ascii="Calibri" w:eastAsiaTheme="minorHAnsi" w:hAnsi="Calibri" w:cs="Calibri"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D4B033E"/>
    <w:multiLevelType w:val="hybridMultilevel"/>
    <w:tmpl w:val="3006B334"/>
    <w:lvl w:ilvl="0" w:tplc="853CD754">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E9B4872"/>
    <w:multiLevelType w:val="hybridMultilevel"/>
    <w:tmpl w:val="F0A804F0"/>
    <w:lvl w:ilvl="0" w:tplc="8AB86004">
      <w:start w:val="2"/>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EAA70D5"/>
    <w:multiLevelType w:val="hybridMultilevel"/>
    <w:tmpl w:val="DF66ED3E"/>
    <w:lvl w:ilvl="0" w:tplc="65ACEEE0">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34C241D"/>
    <w:multiLevelType w:val="hybridMultilevel"/>
    <w:tmpl w:val="D1BCB670"/>
    <w:lvl w:ilvl="0" w:tplc="91EEF33C">
      <w:start w:val="368"/>
      <w:numFmt w:val="bullet"/>
      <w:lvlText w:val="-"/>
      <w:lvlJc w:val="left"/>
      <w:pPr>
        <w:ind w:left="720" w:hanging="360"/>
      </w:pPr>
      <w:rPr>
        <w:rFonts w:ascii="Calibri" w:eastAsiaTheme="minorHAnsi" w:hAnsi="Calibri" w:cs="Calibri"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7C53355"/>
    <w:multiLevelType w:val="hybridMultilevel"/>
    <w:tmpl w:val="59745412"/>
    <w:lvl w:ilvl="0" w:tplc="E9109BF6">
      <w:start w:val="1"/>
      <w:numFmt w:val="decimal"/>
      <w:lvlText w:val="%1"/>
      <w:lvlJc w:val="center"/>
      <w:pPr>
        <w:ind w:left="1635"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9E95EAB"/>
    <w:multiLevelType w:val="hybridMultilevel"/>
    <w:tmpl w:val="E11EC010"/>
    <w:lvl w:ilvl="0" w:tplc="19F06C0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BFF6C60"/>
    <w:multiLevelType w:val="hybridMultilevel"/>
    <w:tmpl w:val="A8CABF6E"/>
    <w:lvl w:ilvl="0" w:tplc="AB880678">
      <w:start w:val="2"/>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E922F0D"/>
    <w:multiLevelType w:val="hybridMultilevel"/>
    <w:tmpl w:val="3A82E810"/>
    <w:lvl w:ilvl="0" w:tplc="F3CEC842">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71BE4750"/>
    <w:multiLevelType w:val="hybridMultilevel"/>
    <w:tmpl w:val="C11280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5E406C6"/>
    <w:multiLevelType w:val="hybridMultilevel"/>
    <w:tmpl w:val="0FD24214"/>
    <w:lvl w:ilvl="0" w:tplc="68DADF5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6FE4E5F"/>
    <w:multiLevelType w:val="hybridMultilevel"/>
    <w:tmpl w:val="B8A0639C"/>
    <w:lvl w:ilvl="0" w:tplc="65ACEEE0">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74C62A6"/>
    <w:multiLevelType w:val="hybridMultilevel"/>
    <w:tmpl w:val="27208524"/>
    <w:lvl w:ilvl="0" w:tplc="D668F240">
      <w:start w:val="2"/>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D5441D9"/>
    <w:multiLevelType w:val="hybridMultilevel"/>
    <w:tmpl w:val="F33AAA08"/>
    <w:lvl w:ilvl="0" w:tplc="65ACEEE0">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FAA74B3"/>
    <w:multiLevelType w:val="hybridMultilevel"/>
    <w:tmpl w:val="84C4F2C4"/>
    <w:lvl w:ilvl="0" w:tplc="65ACEEE0">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30336374">
    <w:abstractNumId w:val="21"/>
  </w:num>
  <w:num w:numId="2" w16cid:durableId="179323014">
    <w:abstractNumId w:val="0"/>
  </w:num>
  <w:num w:numId="3" w16cid:durableId="844324358">
    <w:abstractNumId w:val="16"/>
  </w:num>
  <w:num w:numId="4" w16cid:durableId="13502585">
    <w:abstractNumId w:val="22"/>
  </w:num>
  <w:num w:numId="5" w16cid:durableId="122584498">
    <w:abstractNumId w:val="9"/>
  </w:num>
  <w:num w:numId="6" w16cid:durableId="1573347870">
    <w:abstractNumId w:val="6"/>
  </w:num>
  <w:num w:numId="7" w16cid:durableId="1407921939">
    <w:abstractNumId w:val="17"/>
  </w:num>
  <w:num w:numId="8" w16cid:durableId="1002514763">
    <w:abstractNumId w:val="18"/>
  </w:num>
  <w:num w:numId="9" w16cid:durableId="970020281">
    <w:abstractNumId w:val="5"/>
  </w:num>
  <w:num w:numId="10" w16cid:durableId="1085954290">
    <w:abstractNumId w:val="13"/>
  </w:num>
  <w:num w:numId="11" w16cid:durableId="1124079975">
    <w:abstractNumId w:val="1"/>
  </w:num>
  <w:num w:numId="12" w16cid:durableId="714815693">
    <w:abstractNumId w:val="28"/>
  </w:num>
  <w:num w:numId="13" w16cid:durableId="930509890">
    <w:abstractNumId w:val="23"/>
  </w:num>
  <w:num w:numId="14" w16cid:durableId="381056691">
    <w:abstractNumId w:val="30"/>
  </w:num>
  <w:num w:numId="15" w16cid:durableId="504200701">
    <w:abstractNumId w:val="4"/>
  </w:num>
  <w:num w:numId="16" w16cid:durableId="243536689">
    <w:abstractNumId w:val="19"/>
  </w:num>
  <w:num w:numId="17" w16cid:durableId="448477184">
    <w:abstractNumId w:val="27"/>
  </w:num>
  <w:num w:numId="18" w16cid:durableId="212426976">
    <w:abstractNumId w:val="12"/>
  </w:num>
  <w:num w:numId="19" w16cid:durableId="1015960944">
    <w:abstractNumId w:val="10"/>
  </w:num>
  <w:num w:numId="20" w16cid:durableId="1914703327">
    <w:abstractNumId w:val="29"/>
  </w:num>
  <w:num w:numId="21" w16cid:durableId="1268537894">
    <w:abstractNumId w:val="7"/>
  </w:num>
  <w:num w:numId="22" w16cid:durableId="1085226044">
    <w:abstractNumId w:val="24"/>
  </w:num>
  <w:num w:numId="23" w16cid:durableId="1199397090">
    <w:abstractNumId w:val="26"/>
  </w:num>
  <w:num w:numId="24" w16cid:durableId="1337656930">
    <w:abstractNumId w:val="25"/>
  </w:num>
  <w:num w:numId="25" w16cid:durableId="100611896">
    <w:abstractNumId w:val="11"/>
  </w:num>
  <w:num w:numId="26" w16cid:durableId="1139034108">
    <w:abstractNumId w:val="14"/>
  </w:num>
  <w:num w:numId="27" w16cid:durableId="195898619">
    <w:abstractNumId w:val="15"/>
  </w:num>
  <w:num w:numId="28" w16cid:durableId="1992950738">
    <w:abstractNumId w:val="3"/>
  </w:num>
  <w:num w:numId="29" w16cid:durableId="1245148018">
    <w:abstractNumId w:val="20"/>
  </w:num>
  <w:num w:numId="30" w16cid:durableId="307128957">
    <w:abstractNumId w:val="2"/>
  </w:num>
  <w:num w:numId="31" w16cid:durableId="124822867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1"/>
  <w:activeWritingStyle w:appName="MSWord" w:lang="fr-FR" w:vendorID="64" w:dllVersion="6" w:nlCheck="1" w:checkStyle="0"/>
  <w:activeWritingStyle w:appName="MSWord" w:lang="en-CA" w:vendorID="64" w:dllVersion="6" w:nlCheck="1" w:checkStyle="1"/>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B4"/>
    <w:rsid w:val="00000D70"/>
    <w:rsid w:val="000010BF"/>
    <w:rsid w:val="0000120A"/>
    <w:rsid w:val="000029E5"/>
    <w:rsid w:val="00002ADE"/>
    <w:rsid w:val="0000361B"/>
    <w:rsid w:val="00003A35"/>
    <w:rsid w:val="00003B04"/>
    <w:rsid w:val="00004CF5"/>
    <w:rsid w:val="00011487"/>
    <w:rsid w:val="000117A0"/>
    <w:rsid w:val="00011911"/>
    <w:rsid w:val="000127DA"/>
    <w:rsid w:val="00012A04"/>
    <w:rsid w:val="00012CA8"/>
    <w:rsid w:val="00013418"/>
    <w:rsid w:val="00013ACC"/>
    <w:rsid w:val="00014011"/>
    <w:rsid w:val="00014E4C"/>
    <w:rsid w:val="000159A5"/>
    <w:rsid w:val="000167EA"/>
    <w:rsid w:val="00020043"/>
    <w:rsid w:val="00020196"/>
    <w:rsid w:val="000209E3"/>
    <w:rsid w:val="00021230"/>
    <w:rsid w:val="000213CA"/>
    <w:rsid w:val="0002354F"/>
    <w:rsid w:val="000252ED"/>
    <w:rsid w:val="00025AFF"/>
    <w:rsid w:val="00025B99"/>
    <w:rsid w:val="00026112"/>
    <w:rsid w:val="0002791C"/>
    <w:rsid w:val="00031F52"/>
    <w:rsid w:val="0003371F"/>
    <w:rsid w:val="00033C43"/>
    <w:rsid w:val="000349C1"/>
    <w:rsid w:val="00035360"/>
    <w:rsid w:val="00035790"/>
    <w:rsid w:val="00035D96"/>
    <w:rsid w:val="00035DA4"/>
    <w:rsid w:val="00035E22"/>
    <w:rsid w:val="000401DA"/>
    <w:rsid w:val="0004085B"/>
    <w:rsid w:val="0004099A"/>
    <w:rsid w:val="00042CBD"/>
    <w:rsid w:val="00045157"/>
    <w:rsid w:val="00045285"/>
    <w:rsid w:val="000452BE"/>
    <w:rsid w:val="0004700F"/>
    <w:rsid w:val="00047677"/>
    <w:rsid w:val="0004794D"/>
    <w:rsid w:val="0005071A"/>
    <w:rsid w:val="00053BAC"/>
    <w:rsid w:val="00053BAD"/>
    <w:rsid w:val="0005425E"/>
    <w:rsid w:val="0005471D"/>
    <w:rsid w:val="00054906"/>
    <w:rsid w:val="0005531E"/>
    <w:rsid w:val="00055D89"/>
    <w:rsid w:val="00056E4F"/>
    <w:rsid w:val="000571C3"/>
    <w:rsid w:val="000605A1"/>
    <w:rsid w:val="00060DB7"/>
    <w:rsid w:val="00061CD3"/>
    <w:rsid w:val="0006212B"/>
    <w:rsid w:val="00062295"/>
    <w:rsid w:val="00062EDB"/>
    <w:rsid w:val="0006302F"/>
    <w:rsid w:val="00063E08"/>
    <w:rsid w:val="00064BA8"/>
    <w:rsid w:val="00064FEE"/>
    <w:rsid w:val="00066C3E"/>
    <w:rsid w:val="00066F30"/>
    <w:rsid w:val="000728AD"/>
    <w:rsid w:val="00072BC2"/>
    <w:rsid w:val="00073BC9"/>
    <w:rsid w:val="00076258"/>
    <w:rsid w:val="000764AD"/>
    <w:rsid w:val="0007672D"/>
    <w:rsid w:val="00077E48"/>
    <w:rsid w:val="00077EDC"/>
    <w:rsid w:val="00080342"/>
    <w:rsid w:val="000808BF"/>
    <w:rsid w:val="00081630"/>
    <w:rsid w:val="00081E0A"/>
    <w:rsid w:val="00082B11"/>
    <w:rsid w:val="00082D88"/>
    <w:rsid w:val="000834AB"/>
    <w:rsid w:val="0008438A"/>
    <w:rsid w:val="00085374"/>
    <w:rsid w:val="0008557E"/>
    <w:rsid w:val="00085C5E"/>
    <w:rsid w:val="00085EC1"/>
    <w:rsid w:val="00085FF8"/>
    <w:rsid w:val="0008614A"/>
    <w:rsid w:val="000863D3"/>
    <w:rsid w:val="000874BA"/>
    <w:rsid w:val="0009133C"/>
    <w:rsid w:val="00091342"/>
    <w:rsid w:val="000916BD"/>
    <w:rsid w:val="000922C2"/>
    <w:rsid w:val="00093C03"/>
    <w:rsid w:val="00093C08"/>
    <w:rsid w:val="00094AFC"/>
    <w:rsid w:val="00094F4D"/>
    <w:rsid w:val="00095206"/>
    <w:rsid w:val="000959BA"/>
    <w:rsid w:val="00095EF0"/>
    <w:rsid w:val="00096CCE"/>
    <w:rsid w:val="0009795B"/>
    <w:rsid w:val="00097F74"/>
    <w:rsid w:val="00097F83"/>
    <w:rsid w:val="000A1B19"/>
    <w:rsid w:val="000A26CE"/>
    <w:rsid w:val="000A2E75"/>
    <w:rsid w:val="000A36F0"/>
    <w:rsid w:val="000A3891"/>
    <w:rsid w:val="000A433B"/>
    <w:rsid w:val="000A45D8"/>
    <w:rsid w:val="000A4658"/>
    <w:rsid w:val="000A7AA6"/>
    <w:rsid w:val="000B0EA3"/>
    <w:rsid w:val="000B28A9"/>
    <w:rsid w:val="000B4439"/>
    <w:rsid w:val="000B45D3"/>
    <w:rsid w:val="000B4DF2"/>
    <w:rsid w:val="000B4FC4"/>
    <w:rsid w:val="000B52FB"/>
    <w:rsid w:val="000B78BE"/>
    <w:rsid w:val="000C0514"/>
    <w:rsid w:val="000C493B"/>
    <w:rsid w:val="000C603C"/>
    <w:rsid w:val="000D0841"/>
    <w:rsid w:val="000D0A81"/>
    <w:rsid w:val="000D0CAF"/>
    <w:rsid w:val="000D0CFE"/>
    <w:rsid w:val="000D2122"/>
    <w:rsid w:val="000D4192"/>
    <w:rsid w:val="000D75E5"/>
    <w:rsid w:val="000D791C"/>
    <w:rsid w:val="000E001B"/>
    <w:rsid w:val="000E1228"/>
    <w:rsid w:val="000E1454"/>
    <w:rsid w:val="000E17D6"/>
    <w:rsid w:val="000E1F8B"/>
    <w:rsid w:val="000E23E6"/>
    <w:rsid w:val="000E2DB1"/>
    <w:rsid w:val="000E3D4C"/>
    <w:rsid w:val="000E4CD0"/>
    <w:rsid w:val="000E60E7"/>
    <w:rsid w:val="000E7DF7"/>
    <w:rsid w:val="000F0388"/>
    <w:rsid w:val="000F04E1"/>
    <w:rsid w:val="000F0733"/>
    <w:rsid w:val="000F0BE2"/>
    <w:rsid w:val="000F1355"/>
    <w:rsid w:val="000F23F1"/>
    <w:rsid w:val="000F3748"/>
    <w:rsid w:val="000F496F"/>
    <w:rsid w:val="000F5083"/>
    <w:rsid w:val="000F55FE"/>
    <w:rsid w:val="000F6671"/>
    <w:rsid w:val="000F6692"/>
    <w:rsid w:val="000F75AF"/>
    <w:rsid w:val="000F7A2F"/>
    <w:rsid w:val="00100595"/>
    <w:rsid w:val="001008C9"/>
    <w:rsid w:val="00101226"/>
    <w:rsid w:val="00101292"/>
    <w:rsid w:val="0010129B"/>
    <w:rsid w:val="00101449"/>
    <w:rsid w:val="00101655"/>
    <w:rsid w:val="001017B8"/>
    <w:rsid w:val="001019AF"/>
    <w:rsid w:val="00101A74"/>
    <w:rsid w:val="00102BC7"/>
    <w:rsid w:val="001032EB"/>
    <w:rsid w:val="00105243"/>
    <w:rsid w:val="00105B45"/>
    <w:rsid w:val="00110D80"/>
    <w:rsid w:val="001118A2"/>
    <w:rsid w:val="00111F03"/>
    <w:rsid w:val="00113299"/>
    <w:rsid w:val="001148AE"/>
    <w:rsid w:val="00116882"/>
    <w:rsid w:val="00116A47"/>
    <w:rsid w:val="001170D9"/>
    <w:rsid w:val="001207F6"/>
    <w:rsid w:val="0012110E"/>
    <w:rsid w:val="00122210"/>
    <w:rsid w:val="00122A06"/>
    <w:rsid w:val="001257E4"/>
    <w:rsid w:val="00131500"/>
    <w:rsid w:val="00131B95"/>
    <w:rsid w:val="0013275E"/>
    <w:rsid w:val="0013319C"/>
    <w:rsid w:val="001346F9"/>
    <w:rsid w:val="00134CFE"/>
    <w:rsid w:val="001358D6"/>
    <w:rsid w:val="001361A7"/>
    <w:rsid w:val="00137EF1"/>
    <w:rsid w:val="00140F6F"/>
    <w:rsid w:val="00141A91"/>
    <w:rsid w:val="0014202C"/>
    <w:rsid w:val="00142214"/>
    <w:rsid w:val="00142F70"/>
    <w:rsid w:val="001433D9"/>
    <w:rsid w:val="00143DA9"/>
    <w:rsid w:val="00143F40"/>
    <w:rsid w:val="0014415F"/>
    <w:rsid w:val="00144719"/>
    <w:rsid w:val="00145136"/>
    <w:rsid w:val="001451F1"/>
    <w:rsid w:val="0014592A"/>
    <w:rsid w:val="00145AA0"/>
    <w:rsid w:val="00150085"/>
    <w:rsid w:val="00151CC2"/>
    <w:rsid w:val="0015312D"/>
    <w:rsid w:val="00153276"/>
    <w:rsid w:val="00153D12"/>
    <w:rsid w:val="001543B6"/>
    <w:rsid w:val="00154695"/>
    <w:rsid w:val="001557F5"/>
    <w:rsid w:val="0015691E"/>
    <w:rsid w:val="00157260"/>
    <w:rsid w:val="00157277"/>
    <w:rsid w:val="00157AD8"/>
    <w:rsid w:val="001616D4"/>
    <w:rsid w:val="0016227F"/>
    <w:rsid w:val="00162FA8"/>
    <w:rsid w:val="00165D77"/>
    <w:rsid w:val="00167061"/>
    <w:rsid w:val="001670ED"/>
    <w:rsid w:val="001675B3"/>
    <w:rsid w:val="00170049"/>
    <w:rsid w:val="001719C6"/>
    <w:rsid w:val="00171E24"/>
    <w:rsid w:val="00174289"/>
    <w:rsid w:val="00174FBD"/>
    <w:rsid w:val="00177EBE"/>
    <w:rsid w:val="00177F47"/>
    <w:rsid w:val="001809F1"/>
    <w:rsid w:val="00180B9B"/>
    <w:rsid w:val="00180C6A"/>
    <w:rsid w:val="001810B5"/>
    <w:rsid w:val="0018168D"/>
    <w:rsid w:val="0018173A"/>
    <w:rsid w:val="001829A9"/>
    <w:rsid w:val="00183393"/>
    <w:rsid w:val="0018351E"/>
    <w:rsid w:val="00183831"/>
    <w:rsid w:val="00183F1B"/>
    <w:rsid w:val="00184D11"/>
    <w:rsid w:val="00185E9A"/>
    <w:rsid w:val="00186A0F"/>
    <w:rsid w:val="001906A8"/>
    <w:rsid w:val="00190C8C"/>
    <w:rsid w:val="00191C06"/>
    <w:rsid w:val="00193F62"/>
    <w:rsid w:val="001943A5"/>
    <w:rsid w:val="001947F1"/>
    <w:rsid w:val="00194F4F"/>
    <w:rsid w:val="00195536"/>
    <w:rsid w:val="00196095"/>
    <w:rsid w:val="00196D5A"/>
    <w:rsid w:val="00196E1F"/>
    <w:rsid w:val="001A0C75"/>
    <w:rsid w:val="001A280F"/>
    <w:rsid w:val="001A38FA"/>
    <w:rsid w:val="001A5236"/>
    <w:rsid w:val="001A6AAD"/>
    <w:rsid w:val="001B0764"/>
    <w:rsid w:val="001B0A81"/>
    <w:rsid w:val="001B0FF6"/>
    <w:rsid w:val="001B10E3"/>
    <w:rsid w:val="001B2C57"/>
    <w:rsid w:val="001B3882"/>
    <w:rsid w:val="001B6599"/>
    <w:rsid w:val="001B7A33"/>
    <w:rsid w:val="001C12AC"/>
    <w:rsid w:val="001C1494"/>
    <w:rsid w:val="001C1AD9"/>
    <w:rsid w:val="001C2E76"/>
    <w:rsid w:val="001C3159"/>
    <w:rsid w:val="001C3917"/>
    <w:rsid w:val="001C5EDB"/>
    <w:rsid w:val="001C7368"/>
    <w:rsid w:val="001C76FB"/>
    <w:rsid w:val="001D17E8"/>
    <w:rsid w:val="001D2304"/>
    <w:rsid w:val="001D320A"/>
    <w:rsid w:val="001D33C8"/>
    <w:rsid w:val="001D3628"/>
    <w:rsid w:val="001D3B8E"/>
    <w:rsid w:val="001D5083"/>
    <w:rsid w:val="001D5781"/>
    <w:rsid w:val="001D7042"/>
    <w:rsid w:val="001D7801"/>
    <w:rsid w:val="001D7BC3"/>
    <w:rsid w:val="001E1266"/>
    <w:rsid w:val="001E2253"/>
    <w:rsid w:val="001E2394"/>
    <w:rsid w:val="001E26FD"/>
    <w:rsid w:val="001E3919"/>
    <w:rsid w:val="001E5862"/>
    <w:rsid w:val="001E5CD8"/>
    <w:rsid w:val="001E5E3E"/>
    <w:rsid w:val="001E6E91"/>
    <w:rsid w:val="001F0A6C"/>
    <w:rsid w:val="001F1B94"/>
    <w:rsid w:val="001F20F6"/>
    <w:rsid w:val="001F237B"/>
    <w:rsid w:val="001F364E"/>
    <w:rsid w:val="001F3894"/>
    <w:rsid w:val="001F434F"/>
    <w:rsid w:val="001F6657"/>
    <w:rsid w:val="001F7309"/>
    <w:rsid w:val="001F7BD5"/>
    <w:rsid w:val="0020014D"/>
    <w:rsid w:val="00200B5A"/>
    <w:rsid w:val="002028AB"/>
    <w:rsid w:val="00203653"/>
    <w:rsid w:val="002037C4"/>
    <w:rsid w:val="002044A0"/>
    <w:rsid w:val="0020482C"/>
    <w:rsid w:val="0020533E"/>
    <w:rsid w:val="00211DD9"/>
    <w:rsid w:val="00213DAC"/>
    <w:rsid w:val="00214B70"/>
    <w:rsid w:val="00215AF2"/>
    <w:rsid w:val="00216107"/>
    <w:rsid w:val="00216AC2"/>
    <w:rsid w:val="00216C9D"/>
    <w:rsid w:val="00220373"/>
    <w:rsid w:val="00221680"/>
    <w:rsid w:val="0022260A"/>
    <w:rsid w:val="0022330F"/>
    <w:rsid w:val="002236F5"/>
    <w:rsid w:val="002249D8"/>
    <w:rsid w:val="00225897"/>
    <w:rsid w:val="00225A95"/>
    <w:rsid w:val="002311B9"/>
    <w:rsid w:val="00231D26"/>
    <w:rsid w:val="00232655"/>
    <w:rsid w:val="0023298B"/>
    <w:rsid w:val="00232C12"/>
    <w:rsid w:val="002341E1"/>
    <w:rsid w:val="00236234"/>
    <w:rsid w:val="002369C8"/>
    <w:rsid w:val="00237986"/>
    <w:rsid w:val="002402AA"/>
    <w:rsid w:val="00241105"/>
    <w:rsid w:val="00241381"/>
    <w:rsid w:val="00242206"/>
    <w:rsid w:val="002422A8"/>
    <w:rsid w:val="00243F20"/>
    <w:rsid w:val="002441E1"/>
    <w:rsid w:val="00244592"/>
    <w:rsid w:val="0024552F"/>
    <w:rsid w:val="002456C9"/>
    <w:rsid w:val="00245848"/>
    <w:rsid w:val="00246D82"/>
    <w:rsid w:val="0024798F"/>
    <w:rsid w:val="00247A78"/>
    <w:rsid w:val="00252102"/>
    <w:rsid w:val="0025474D"/>
    <w:rsid w:val="00254C4F"/>
    <w:rsid w:val="00255811"/>
    <w:rsid w:val="002558F2"/>
    <w:rsid w:val="0025725F"/>
    <w:rsid w:val="00260C79"/>
    <w:rsid w:val="002612AD"/>
    <w:rsid w:val="002612DE"/>
    <w:rsid w:val="00261796"/>
    <w:rsid w:val="00262C68"/>
    <w:rsid w:val="0026371C"/>
    <w:rsid w:val="0026389A"/>
    <w:rsid w:val="00263A92"/>
    <w:rsid w:val="00263B34"/>
    <w:rsid w:val="002641B9"/>
    <w:rsid w:val="0026431D"/>
    <w:rsid w:val="002647BA"/>
    <w:rsid w:val="00264992"/>
    <w:rsid w:val="0026537B"/>
    <w:rsid w:val="0026682E"/>
    <w:rsid w:val="00270567"/>
    <w:rsid w:val="00270762"/>
    <w:rsid w:val="002709C6"/>
    <w:rsid w:val="002715B8"/>
    <w:rsid w:val="00272059"/>
    <w:rsid w:val="00272802"/>
    <w:rsid w:val="00272FEF"/>
    <w:rsid w:val="00274A8C"/>
    <w:rsid w:val="0027541B"/>
    <w:rsid w:val="002759AE"/>
    <w:rsid w:val="00275A94"/>
    <w:rsid w:val="00275DCA"/>
    <w:rsid w:val="00276719"/>
    <w:rsid w:val="00277C32"/>
    <w:rsid w:val="00277DDF"/>
    <w:rsid w:val="00280993"/>
    <w:rsid w:val="00280FAB"/>
    <w:rsid w:val="00282174"/>
    <w:rsid w:val="00282C98"/>
    <w:rsid w:val="00282F96"/>
    <w:rsid w:val="00283AF3"/>
    <w:rsid w:val="00284523"/>
    <w:rsid w:val="00284B05"/>
    <w:rsid w:val="00285D30"/>
    <w:rsid w:val="00286089"/>
    <w:rsid w:val="00286AB0"/>
    <w:rsid w:val="00287602"/>
    <w:rsid w:val="0029219D"/>
    <w:rsid w:val="00292498"/>
    <w:rsid w:val="0029270D"/>
    <w:rsid w:val="00292CCA"/>
    <w:rsid w:val="002932C8"/>
    <w:rsid w:val="00293521"/>
    <w:rsid w:val="002940B0"/>
    <w:rsid w:val="0029418E"/>
    <w:rsid w:val="002952C1"/>
    <w:rsid w:val="00295335"/>
    <w:rsid w:val="00296607"/>
    <w:rsid w:val="00296950"/>
    <w:rsid w:val="00297171"/>
    <w:rsid w:val="002A05F9"/>
    <w:rsid w:val="002A32E9"/>
    <w:rsid w:val="002A3633"/>
    <w:rsid w:val="002A389A"/>
    <w:rsid w:val="002A4F25"/>
    <w:rsid w:val="002A5A35"/>
    <w:rsid w:val="002A5A87"/>
    <w:rsid w:val="002A651E"/>
    <w:rsid w:val="002A66BA"/>
    <w:rsid w:val="002A7624"/>
    <w:rsid w:val="002A79E8"/>
    <w:rsid w:val="002B0722"/>
    <w:rsid w:val="002B077D"/>
    <w:rsid w:val="002B1331"/>
    <w:rsid w:val="002B28EF"/>
    <w:rsid w:val="002B2FA8"/>
    <w:rsid w:val="002B3A76"/>
    <w:rsid w:val="002B3D88"/>
    <w:rsid w:val="002B3DD0"/>
    <w:rsid w:val="002B6AD6"/>
    <w:rsid w:val="002B7CB8"/>
    <w:rsid w:val="002C0D5F"/>
    <w:rsid w:val="002C1362"/>
    <w:rsid w:val="002C4187"/>
    <w:rsid w:val="002C44CB"/>
    <w:rsid w:val="002C4EAB"/>
    <w:rsid w:val="002C707C"/>
    <w:rsid w:val="002C79C6"/>
    <w:rsid w:val="002C7CBB"/>
    <w:rsid w:val="002C7F43"/>
    <w:rsid w:val="002D1748"/>
    <w:rsid w:val="002D1DA7"/>
    <w:rsid w:val="002D2389"/>
    <w:rsid w:val="002D2A0C"/>
    <w:rsid w:val="002D2FE0"/>
    <w:rsid w:val="002D38EC"/>
    <w:rsid w:val="002D3AFE"/>
    <w:rsid w:val="002D4C2E"/>
    <w:rsid w:val="002D56E4"/>
    <w:rsid w:val="002D5CF8"/>
    <w:rsid w:val="002D600C"/>
    <w:rsid w:val="002D7BE7"/>
    <w:rsid w:val="002E109C"/>
    <w:rsid w:val="002E121A"/>
    <w:rsid w:val="002E1991"/>
    <w:rsid w:val="002E28DF"/>
    <w:rsid w:val="002E33A1"/>
    <w:rsid w:val="002E4AA2"/>
    <w:rsid w:val="002E66B8"/>
    <w:rsid w:val="002E6974"/>
    <w:rsid w:val="002E6F1D"/>
    <w:rsid w:val="002F0A82"/>
    <w:rsid w:val="002F11C8"/>
    <w:rsid w:val="002F1FBD"/>
    <w:rsid w:val="002F218C"/>
    <w:rsid w:val="002F4535"/>
    <w:rsid w:val="002F7AB3"/>
    <w:rsid w:val="0030049F"/>
    <w:rsid w:val="00300AA6"/>
    <w:rsid w:val="00300DB7"/>
    <w:rsid w:val="003033C7"/>
    <w:rsid w:val="00303775"/>
    <w:rsid w:val="0030467D"/>
    <w:rsid w:val="003054CD"/>
    <w:rsid w:val="0030550A"/>
    <w:rsid w:val="003064D0"/>
    <w:rsid w:val="00306D4B"/>
    <w:rsid w:val="003072FD"/>
    <w:rsid w:val="00311036"/>
    <w:rsid w:val="003132AC"/>
    <w:rsid w:val="003145C4"/>
    <w:rsid w:val="003145C6"/>
    <w:rsid w:val="003148F9"/>
    <w:rsid w:val="0031545E"/>
    <w:rsid w:val="00315B24"/>
    <w:rsid w:val="00316F14"/>
    <w:rsid w:val="0031701C"/>
    <w:rsid w:val="00320502"/>
    <w:rsid w:val="00321B75"/>
    <w:rsid w:val="00322569"/>
    <w:rsid w:val="003255DC"/>
    <w:rsid w:val="00325FB5"/>
    <w:rsid w:val="003265C9"/>
    <w:rsid w:val="00327614"/>
    <w:rsid w:val="00327F5A"/>
    <w:rsid w:val="003300F2"/>
    <w:rsid w:val="00330FFB"/>
    <w:rsid w:val="00331ED0"/>
    <w:rsid w:val="0033217E"/>
    <w:rsid w:val="00335962"/>
    <w:rsid w:val="003360EC"/>
    <w:rsid w:val="003374C1"/>
    <w:rsid w:val="00337AF6"/>
    <w:rsid w:val="0034085A"/>
    <w:rsid w:val="0034108E"/>
    <w:rsid w:val="00342844"/>
    <w:rsid w:val="00342F1F"/>
    <w:rsid w:val="00345C1E"/>
    <w:rsid w:val="00346E5E"/>
    <w:rsid w:val="00350B0E"/>
    <w:rsid w:val="00351E91"/>
    <w:rsid w:val="003523D6"/>
    <w:rsid w:val="0035434A"/>
    <w:rsid w:val="00356220"/>
    <w:rsid w:val="00362DC0"/>
    <w:rsid w:val="003633E1"/>
    <w:rsid w:val="003634F0"/>
    <w:rsid w:val="0036596B"/>
    <w:rsid w:val="0036798A"/>
    <w:rsid w:val="003708EF"/>
    <w:rsid w:val="0037287B"/>
    <w:rsid w:val="003729EA"/>
    <w:rsid w:val="00372C7E"/>
    <w:rsid w:val="00374485"/>
    <w:rsid w:val="0037470A"/>
    <w:rsid w:val="00376C78"/>
    <w:rsid w:val="00377CA6"/>
    <w:rsid w:val="00380F5D"/>
    <w:rsid w:val="00381488"/>
    <w:rsid w:val="0038238A"/>
    <w:rsid w:val="0038319A"/>
    <w:rsid w:val="00384252"/>
    <w:rsid w:val="00384A02"/>
    <w:rsid w:val="00384D45"/>
    <w:rsid w:val="00385812"/>
    <w:rsid w:val="003860B5"/>
    <w:rsid w:val="00386186"/>
    <w:rsid w:val="003866DE"/>
    <w:rsid w:val="00390034"/>
    <w:rsid w:val="0039161E"/>
    <w:rsid w:val="00392043"/>
    <w:rsid w:val="003926DF"/>
    <w:rsid w:val="0039290E"/>
    <w:rsid w:val="00392A2C"/>
    <w:rsid w:val="00392F6D"/>
    <w:rsid w:val="00394315"/>
    <w:rsid w:val="003949D3"/>
    <w:rsid w:val="00395995"/>
    <w:rsid w:val="00396574"/>
    <w:rsid w:val="00396804"/>
    <w:rsid w:val="00396C0C"/>
    <w:rsid w:val="00396D46"/>
    <w:rsid w:val="00397031"/>
    <w:rsid w:val="00397251"/>
    <w:rsid w:val="00397309"/>
    <w:rsid w:val="003A2CC7"/>
    <w:rsid w:val="003A3413"/>
    <w:rsid w:val="003A34DC"/>
    <w:rsid w:val="003A4C15"/>
    <w:rsid w:val="003A640E"/>
    <w:rsid w:val="003A6604"/>
    <w:rsid w:val="003A6FA8"/>
    <w:rsid w:val="003B09F8"/>
    <w:rsid w:val="003B10B0"/>
    <w:rsid w:val="003B10BB"/>
    <w:rsid w:val="003B37EA"/>
    <w:rsid w:val="003B46DC"/>
    <w:rsid w:val="003B4D32"/>
    <w:rsid w:val="003B57A8"/>
    <w:rsid w:val="003B5ADF"/>
    <w:rsid w:val="003B747D"/>
    <w:rsid w:val="003B7685"/>
    <w:rsid w:val="003C02EA"/>
    <w:rsid w:val="003C03A8"/>
    <w:rsid w:val="003C0D06"/>
    <w:rsid w:val="003C300F"/>
    <w:rsid w:val="003C31DC"/>
    <w:rsid w:val="003C4227"/>
    <w:rsid w:val="003C5303"/>
    <w:rsid w:val="003D0AF3"/>
    <w:rsid w:val="003D2006"/>
    <w:rsid w:val="003D245D"/>
    <w:rsid w:val="003D3792"/>
    <w:rsid w:val="003D3EF7"/>
    <w:rsid w:val="003D6941"/>
    <w:rsid w:val="003D7A51"/>
    <w:rsid w:val="003D7D74"/>
    <w:rsid w:val="003D7F36"/>
    <w:rsid w:val="003E1A16"/>
    <w:rsid w:val="003E25D3"/>
    <w:rsid w:val="003E2A1F"/>
    <w:rsid w:val="003E2E0B"/>
    <w:rsid w:val="003E326C"/>
    <w:rsid w:val="003E4976"/>
    <w:rsid w:val="003E4CE6"/>
    <w:rsid w:val="003E5BB8"/>
    <w:rsid w:val="003E6CB6"/>
    <w:rsid w:val="003E6DBE"/>
    <w:rsid w:val="003E7CF6"/>
    <w:rsid w:val="003F21CF"/>
    <w:rsid w:val="003F2660"/>
    <w:rsid w:val="003F5497"/>
    <w:rsid w:val="00400978"/>
    <w:rsid w:val="00401583"/>
    <w:rsid w:val="00402BB7"/>
    <w:rsid w:val="004045F9"/>
    <w:rsid w:val="00404766"/>
    <w:rsid w:val="0040488B"/>
    <w:rsid w:val="00405C4A"/>
    <w:rsid w:val="004064E3"/>
    <w:rsid w:val="004122DC"/>
    <w:rsid w:val="004128E3"/>
    <w:rsid w:val="00413647"/>
    <w:rsid w:val="00413E39"/>
    <w:rsid w:val="00414BD4"/>
    <w:rsid w:val="00414FD5"/>
    <w:rsid w:val="0041608D"/>
    <w:rsid w:val="0041669B"/>
    <w:rsid w:val="00416A2A"/>
    <w:rsid w:val="00417A53"/>
    <w:rsid w:val="00420F84"/>
    <w:rsid w:val="00422EEF"/>
    <w:rsid w:val="004236E0"/>
    <w:rsid w:val="00423713"/>
    <w:rsid w:val="00423B8A"/>
    <w:rsid w:val="004243C6"/>
    <w:rsid w:val="00424F1C"/>
    <w:rsid w:val="0042517E"/>
    <w:rsid w:val="00425D7F"/>
    <w:rsid w:val="00426A3D"/>
    <w:rsid w:val="004272A4"/>
    <w:rsid w:val="004302F2"/>
    <w:rsid w:val="00430831"/>
    <w:rsid w:val="00432965"/>
    <w:rsid w:val="00433034"/>
    <w:rsid w:val="004340DE"/>
    <w:rsid w:val="00434DC7"/>
    <w:rsid w:val="00436200"/>
    <w:rsid w:val="00437238"/>
    <w:rsid w:val="00437254"/>
    <w:rsid w:val="00437DF8"/>
    <w:rsid w:val="00440EE0"/>
    <w:rsid w:val="00443747"/>
    <w:rsid w:val="00443E39"/>
    <w:rsid w:val="00445BE9"/>
    <w:rsid w:val="00446E25"/>
    <w:rsid w:val="00447578"/>
    <w:rsid w:val="00447B66"/>
    <w:rsid w:val="00451048"/>
    <w:rsid w:val="00452011"/>
    <w:rsid w:val="00452023"/>
    <w:rsid w:val="0045221B"/>
    <w:rsid w:val="004524A2"/>
    <w:rsid w:val="0045430F"/>
    <w:rsid w:val="00454ABD"/>
    <w:rsid w:val="0045557C"/>
    <w:rsid w:val="004561B6"/>
    <w:rsid w:val="00456BEB"/>
    <w:rsid w:val="00456E5A"/>
    <w:rsid w:val="00457A98"/>
    <w:rsid w:val="00461443"/>
    <w:rsid w:val="00462A7A"/>
    <w:rsid w:val="00462EA8"/>
    <w:rsid w:val="00463305"/>
    <w:rsid w:val="004637DE"/>
    <w:rsid w:val="00463904"/>
    <w:rsid w:val="00464ED8"/>
    <w:rsid w:val="00466919"/>
    <w:rsid w:val="0046746E"/>
    <w:rsid w:val="00467641"/>
    <w:rsid w:val="00467FF1"/>
    <w:rsid w:val="00470AB8"/>
    <w:rsid w:val="0047168C"/>
    <w:rsid w:val="00476981"/>
    <w:rsid w:val="00476F95"/>
    <w:rsid w:val="004806D7"/>
    <w:rsid w:val="00481679"/>
    <w:rsid w:val="00483042"/>
    <w:rsid w:val="00483067"/>
    <w:rsid w:val="0048406F"/>
    <w:rsid w:val="00485D14"/>
    <w:rsid w:val="004860BA"/>
    <w:rsid w:val="004865BA"/>
    <w:rsid w:val="00487B99"/>
    <w:rsid w:val="00487DDE"/>
    <w:rsid w:val="00491829"/>
    <w:rsid w:val="00491CFF"/>
    <w:rsid w:val="0049294A"/>
    <w:rsid w:val="00492F9F"/>
    <w:rsid w:val="00495573"/>
    <w:rsid w:val="00495CAD"/>
    <w:rsid w:val="00496280"/>
    <w:rsid w:val="00496724"/>
    <w:rsid w:val="00497C57"/>
    <w:rsid w:val="004A0352"/>
    <w:rsid w:val="004A1D34"/>
    <w:rsid w:val="004A1FBA"/>
    <w:rsid w:val="004A22C0"/>
    <w:rsid w:val="004A3C23"/>
    <w:rsid w:val="004A3F4B"/>
    <w:rsid w:val="004A539F"/>
    <w:rsid w:val="004A621B"/>
    <w:rsid w:val="004B177A"/>
    <w:rsid w:val="004B1BBA"/>
    <w:rsid w:val="004B25F1"/>
    <w:rsid w:val="004B2836"/>
    <w:rsid w:val="004B3757"/>
    <w:rsid w:val="004B5131"/>
    <w:rsid w:val="004C1C24"/>
    <w:rsid w:val="004C69B6"/>
    <w:rsid w:val="004C6F63"/>
    <w:rsid w:val="004C75EA"/>
    <w:rsid w:val="004D1D07"/>
    <w:rsid w:val="004D233B"/>
    <w:rsid w:val="004D2967"/>
    <w:rsid w:val="004D3337"/>
    <w:rsid w:val="004D51BB"/>
    <w:rsid w:val="004D5BB8"/>
    <w:rsid w:val="004D707A"/>
    <w:rsid w:val="004D75CE"/>
    <w:rsid w:val="004D7A98"/>
    <w:rsid w:val="004D7E21"/>
    <w:rsid w:val="004D7E44"/>
    <w:rsid w:val="004E02BB"/>
    <w:rsid w:val="004E03B2"/>
    <w:rsid w:val="004E0FEB"/>
    <w:rsid w:val="004E252A"/>
    <w:rsid w:val="004E2B69"/>
    <w:rsid w:val="004E2EC0"/>
    <w:rsid w:val="004E3353"/>
    <w:rsid w:val="004E41B3"/>
    <w:rsid w:val="004E42B2"/>
    <w:rsid w:val="004E445E"/>
    <w:rsid w:val="004E54C8"/>
    <w:rsid w:val="004E5B1C"/>
    <w:rsid w:val="004E6878"/>
    <w:rsid w:val="004E7B72"/>
    <w:rsid w:val="004E7F3B"/>
    <w:rsid w:val="004F006E"/>
    <w:rsid w:val="004F0462"/>
    <w:rsid w:val="004F1D15"/>
    <w:rsid w:val="004F2401"/>
    <w:rsid w:val="004F283B"/>
    <w:rsid w:val="004F347D"/>
    <w:rsid w:val="004F6DB9"/>
    <w:rsid w:val="00500F66"/>
    <w:rsid w:val="005013DF"/>
    <w:rsid w:val="0050208E"/>
    <w:rsid w:val="0050257F"/>
    <w:rsid w:val="00502B60"/>
    <w:rsid w:val="00503213"/>
    <w:rsid w:val="0050369A"/>
    <w:rsid w:val="00503D17"/>
    <w:rsid w:val="0050624D"/>
    <w:rsid w:val="005070EB"/>
    <w:rsid w:val="0050791B"/>
    <w:rsid w:val="00510425"/>
    <w:rsid w:val="00510563"/>
    <w:rsid w:val="005105E6"/>
    <w:rsid w:val="00510E8E"/>
    <w:rsid w:val="00511BC4"/>
    <w:rsid w:val="00511C07"/>
    <w:rsid w:val="00512012"/>
    <w:rsid w:val="00512590"/>
    <w:rsid w:val="0051286D"/>
    <w:rsid w:val="00513D08"/>
    <w:rsid w:val="00514E68"/>
    <w:rsid w:val="00515230"/>
    <w:rsid w:val="005156F7"/>
    <w:rsid w:val="00515C5D"/>
    <w:rsid w:val="00515CB8"/>
    <w:rsid w:val="005163DE"/>
    <w:rsid w:val="0051653F"/>
    <w:rsid w:val="005165E1"/>
    <w:rsid w:val="005177D5"/>
    <w:rsid w:val="00517D0F"/>
    <w:rsid w:val="00520C11"/>
    <w:rsid w:val="00520C57"/>
    <w:rsid w:val="00520CFA"/>
    <w:rsid w:val="00521B18"/>
    <w:rsid w:val="00521BAD"/>
    <w:rsid w:val="00522B4A"/>
    <w:rsid w:val="00522C16"/>
    <w:rsid w:val="00522CA8"/>
    <w:rsid w:val="005237B2"/>
    <w:rsid w:val="00525762"/>
    <w:rsid w:val="005260E9"/>
    <w:rsid w:val="00526209"/>
    <w:rsid w:val="005307A3"/>
    <w:rsid w:val="0053178E"/>
    <w:rsid w:val="00532951"/>
    <w:rsid w:val="00532C5B"/>
    <w:rsid w:val="00533DAE"/>
    <w:rsid w:val="005341DA"/>
    <w:rsid w:val="00534A75"/>
    <w:rsid w:val="00535EDB"/>
    <w:rsid w:val="005362E9"/>
    <w:rsid w:val="00536317"/>
    <w:rsid w:val="00536CA1"/>
    <w:rsid w:val="00541D96"/>
    <w:rsid w:val="00541E6A"/>
    <w:rsid w:val="00542812"/>
    <w:rsid w:val="00543D85"/>
    <w:rsid w:val="00543F6D"/>
    <w:rsid w:val="00544DCF"/>
    <w:rsid w:val="00544DEA"/>
    <w:rsid w:val="005459C7"/>
    <w:rsid w:val="00545BF6"/>
    <w:rsid w:val="005463DB"/>
    <w:rsid w:val="00546DBE"/>
    <w:rsid w:val="00546F4A"/>
    <w:rsid w:val="00547274"/>
    <w:rsid w:val="00550428"/>
    <w:rsid w:val="0055183E"/>
    <w:rsid w:val="00552A58"/>
    <w:rsid w:val="0055440C"/>
    <w:rsid w:val="00555837"/>
    <w:rsid w:val="00555A68"/>
    <w:rsid w:val="00555D13"/>
    <w:rsid w:val="005569CD"/>
    <w:rsid w:val="00556D19"/>
    <w:rsid w:val="00561CFC"/>
    <w:rsid w:val="00562A4E"/>
    <w:rsid w:val="005641ED"/>
    <w:rsid w:val="0056469E"/>
    <w:rsid w:val="00565CD3"/>
    <w:rsid w:val="00565E8E"/>
    <w:rsid w:val="005661F6"/>
    <w:rsid w:val="00566B52"/>
    <w:rsid w:val="0057007E"/>
    <w:rsid w:val="00571AE5"/>
    <w:rsid w:val="00573015"/>
    <w:rsid w:val="00573D23"/>
    <w:rsid w:val="005751AF"/>
    <w:rsid w:val="00576019"/>
    <w:rsid w:val="00576200"/>
    <w:rsid w:val="00576752"/>
    <w:rsid w:val="005779C1"/>
    <w:rsid w:val="00580C99"/>
    <w:rsid w:val="0058317E"/>
    <w:rsid w:val="00583208"/>
    <w:rsid w:val="00587FCE"/>
    <w:rsid w:val="005901DD"/>
    <w:rsid w:val="00590777"/>
    <w:rsid w:val="00591359"/>
    <w:rsid w:val="00591A1C"/>
    <w:rsid w:val="00592720"/>
    <w:rsid w:val="00592E37"/>
    <w:rsid w:val="005939AA"/>
    <w:rsid w:val="00593F6D"/>
    <w:rsid w:val="00594940"/>
    <w:rsid w:val="00594AC1"/>
    <w:rsid w:val="00594C70"/>
    <w:rsid w:val="00594E78"/>
    <w:rsid w:val="00595388"/>
    <w:rsid w:val="005963C3"/>
    <w:rsid w:val="005A00A6"/>
    <w:rsid w:val="005A385C"/>
    <w:rsid w:val="005A3D65"/>
    <w:rsid w:val="005A3D87"/>
    <w:rsid w:val="005A3DD2"/>
    <w:rsid w:val="005A43FA"/>
    <w:rsid w:val="005A4446"/>
    <w:rsid w:val="005A53DC"/>
    <w:rsid w:val="005A5CA9"/>
    <w:rsid w:val="005A5FF3"/>
    <w:rsid w:val="005A64FC"/>
    <w:rsid w:val="005A6A41"/>
    <w:rsid w:val="005A6B6F"/>
    <w:rsid w:val="005B054A"/>
    <w:rsid w:val="005B1884"/>
    <w:rsid w:val="005B2534"/>
    <w:rsid w:val="005B335F"/>
    <w:rsid w:val="005B34CE"/>
    <w:rsid w:val="005B3A1B"/>
    <w:rsid w:val="005B3C5E"/>
    <w:rsid w:val="005B3F4B"/>
    <w:rsid w:val="005B6218"/>
    <w:rsid w:val="005B6EC6"/>
    <w:rsid w:val="005B7A7B"/>
    <w:rsid w:val="005C01B4"/>
    <w:rsid w:val="005C303F"/>
    <w:rsid w:val="005C32E3"/>
    <w:rsid w:val="005C4F2F"/>
    <w:rsid w:val="005C5216"/>
    <w:rsid w:val="005D1DCE"/>
    <w:rsid w:val="005D1F8F"/>
    <w:rsid w:val="005D4D03"/>
    <w:rsid w:val="005D5D74"/>
    <w:rsid w:val="005D6071"/>
    <w:rsid w:val="005D7780"/>
    <w:rsid w:val="005E02F3"/>
    <w:rsid w:val="005E0511"/>
    <w:rsid w:val="005E0B8F"/>
    <w:rsid w:val="005E0BCF"/>
    <w:rsid w:val="005E0D9C"/>
    <w:rsid w:val="005E227A"/>
    <w:rsid w:val="005E25B2"/>
    <w:rsid w:val="005E50B5"/>
    <w:rsid w:val="005E56A3"/>
    <w:rsid w:val="005F03E4"/>
    <w:rsid w:val="005F0C58"/>
    <w:rsid w:val="005F17A2"/>
    <w:rsid w:val="005F257C"/>
    <w:rsid w:val="005F6775"/>
    <w:rsid w:val="005F7109"/>
    <w:rsid w:val="005F7C07"/>
    <w:rsid w:val="00601550"/>
    <w:rsid w:val="00601733"/>
    <w:rsid w:val="006028BC"/>
    <w:rsid w:val="006035DB"/>
    <w:rsid w:val="00603F53"/>
    <w:rsid w:val="00604EA2"/>
    <w:rsid w:val="00604F53"/>
    <w:rsid w:val="006055FB"/>
    <w:rsid w:val="00605A00"/>
    <w:rsid w:val="00605D0A"/>
    <w:rsid w:val="00605D8B"/>
    <w:rsid w:val="006061E9"/>
    <w:rsid w:val="006103DD"/>
    <w:rsid w:val="00612DEB"/>
    <w:rsid w:val="006132F0"/>
    <w:rsid w:val="00620128"/>
    <w:rsid w:val="00620C0C"/>
    <w:rsid w:val="00620E85"/>
    <w:rsid w:val="00621011"/>
    <w:rsid w:val="00621017"/>
    <w:rsid w:val="0062231E"/>
    <w:rsid w:val="006240DF"/>
    <w:rsid w:val="00624624"/>
    <w:rsid w:val="006248C3"/>
    <w:rsid w:val="00625C0C"/>
    <w:rsid w:val="00625C18"/>
    <w:rsid w:val="00626058"/>
    <w:rsid w:val="0063157D"/>
    <w:rsid w:val="00634672"/>
    <w:rsid w:val="00634D66"/>
    <w:rsid w:val="00636701"/>
    <w:rsid w:val="00636BBB"/>
    <w:rsid w:val="00636EB2"/>
    <w:rsid w:val="00637123"/>
    <w:rsid w:val="00640991"/>
    <w:rsid w:val="00641F16"/>
    <w:rsid w:val="006422CD"/>
    <w:rsid w:val="00642BD9"/>
    <w:rsid w:val="00642F14"/>
    <w:rsid w:val="00645DD7"/>
    <w:rsid w:val="00650133"/>
    <w:rsid w:val="00652043"/>
    <w:rsid w:val="00652069"/>
    <w:rsid w:val="006521F7"/>
    <w:rsid w:val="00653220"/>
    <w:rsid w:val="006540FD"/>
    <w:rsid w:val="00655ECC"/>
    <w:rsid w:val="006563EC"/>
    <w:rsid w:val="00657C54"/>
    <w:rsid w:val="006609C5"/>
    <w:rsid w:val="00661648"/>
    <w:rsid w:val="006625F9"/>
    <w:rsid w:val="00662E2A"/>
    <w:rsid w:val="0066533A"/>
    <w:rsid w:val="00666103"/>
    <w:rsid w:val="006702B7"/>
    <w:rsid w:val="00672489"/>
    <w:rsid w:val="00672889"/>
    <w:rsid w:val="006734B5"/>
    <w:rsid w:val="00674E77"/>
    <w:rsid w:val="00675BFD"/>
    <w:rsid w:val="00676079"/>
    <w:rsid w:val="00676232"/>
    <w:rsid w:val="0068003D"/>
    <w:rsid w:val="00680208"/>
    <w:rsid w:val="00681619"/>
    <w:rsid w:val="006818FE"/>
    <w:rsid w:val="00681954"/>
    <w:rsid w:val="00681FDF"/>
    <w:rsid w:val="00682FE8"/>
    <w:rsid w:val="006830EE"/>
    <w:rsid w:val="006831A9"/>
    <w:rsid w:val="00683E69"/>
    <w:rsid w:val="00683F56"/>
    <w:rsid w:val="00684E4A"/>
    <w:rsid w:val="006857AD"/>
    <w:rsid w:val="006872C5"/>
    <w:rsid w:val="00687B35"/>
    <w:rsid w:val="00691069"/>
    <w:rsid w:val="006916FA"/>
    <w:rsid w:val="00691C0F"/>
    <w:rsid w:val="00691FCD"/>
    <w:rsid w:val="006920B4"/>
    <w:rsid w:val="0069423A"/>
    <w:rsid w:val="006952D9"/>
    <w:rsid w:val="0069666B"/>
    <w:rsid w:val="006978E2"/>
    <w:rsid w:val="00697C15"/>
    <w:rsid w:val="006A15B6"/>
    <w:rsid w:val="006A251C"/>
    <w:rsid w:val="006A363D"/>
    <w:rsid w:val="006A4DA1"/>
    <w:rsid w:val="006A5488"/>
    <w:rsid w:val="006A56B0"/>
    <w:rsid w:val="006A63E4"/>
    <w:rsid w:val="006A7D61"/>
    <w:rsid w:val="006B2477"/>
    <w:rsid w:val="006B32D4"/>
    <w:rsid w:val="006B3F87"/>
    <w:rsid w:val="006B451F"/>
    <w:rsid w:val="006B578B"/>
    <w:rsid w:val="006B6938"/>
    <w:rsid w:val="006B6F02"/>
    <w:rsid w:val="006B7506"/>
    <w:rsid w:val="006B76B9"/>
    <w:rsid w:val="006C0642"/>
    <w:rsid w:val="006C2113"/>
    <w:rsid w:val="006C33CC"/>
    <w:rsid w:val="006C3875"/>
    <w:rsid w:val="006C3E45"/>
    <w:rsid w:val="006C3EE6"/>
    <w:rsid w:val="006C4BD9"/>
    <w:rsid w:val="006C6097"/>
    <w:rsid w:val="006C661B"/>
    <w:rsid w:val="006C7050"/>
    <w:rsid w:val="006D03C3"/>
    <w:rsid w:val="006D19C6"/>
    <w:rsid w:val="006D1BC8"/>
    <w:rsid w:val="006D2345"/>
    <w:rsid w:val="006D25DF"/>
    <w:rsid w:val="006D282D"/>
    <w:rsid w:val="006D3EB4"/>
    <w:rsid w:val="006D4E6C"/>
    <w:rsid w:val="006D75E8"/>
    <w:rsid w:val="006D7967"/>
    <w:rsid w:val="006E092A"/>
    <w:rsid w:val="006E0F47"/>
    <w:rsid w:val="006E1A95"/>
    <w:rsid w:val="006E242C"/>
    <w:rsid w:val="006E35A4"/>
    <w:rsid w:val="006E59C5"/>
    <w:rsid w:val="006E6812"/>
    <w:rsid w:val="006E685C"/>
    <w:rsid w:val="006E7A95"/>
    <w:rsid w:val="006E7E6C"/>
    <w:rsid w:val="006F0842"/>
    <w:rsid w:val="006F1E92"/>
    <w:rsid w:val="006F2567"/>
    <w:rsid w:val="006F32D0"/>
    <w:rsid w:val="006F39C2"/>
    <w:rsid w:val="006F49EE"/>
    <w:rsid w:val="006F57FF"/>
    <w:rsid w:val="006F5FD3"/>
    <w:rsid w:val="006F60BF"/>
    <w:rsid w:val="006F6F9F"/>
    <w:rsid w:val="00700579"/>
    <w:rsid w:val="00701AF3"/>
    <w:rsid w:val="007022B5"/>
    <w:rsid w:val="00702586"/>
    <w:rsid w:val="007025A8"/>
    <w:rsid w:val="00702E71"/>
    <w:rsid w:val="00703AFE"/>
    <w:rsid w:val="00704FF4"/>
    <w:rsid w:val="00705058"/>
    <w:rsid w:val="007056FA"/>
    <w:rsid w:val="007100C8"/>
    <w:rsid w:val="00711768"/>
    <w:rsid w:val="00712F41"/>
    <w:rsid w:val="00713BB6"/>
    <w:rsid w:val="007154BF"/>
    <w:rsid w:val="00715682"/>
    <w:rsid w:val="00717232"/>
    <w:rsid w:val="00717252"/>
    <w:rsid w:val="007202F7"/>
    <w:rsid w:val="007203CC"/>
    <w:rsid w:val="00720CF3"/>
    <w:rsid w:val="00722604"/>
    <w:rsid w:val="007266BA"/>
    <w:rsid w:val="00726B76"/>
    <w:rsid w:val="0073123E"/>
    <w:rsid w:val="007315BF"/>
    <w:rsid w:val="0073224A"/>
    <w:rsid w:val="0073230C"/>
    <w:rsid w:val="00732586"/>
    <w:rsid w:val="00732A39"/>
    <w:rsid w:val="00733582"/>
    <w:rsid w:val="007335CB"/>
    <w:rsid w:val="00733A03"/>
    <w:rsid w:val="00733AF0"/>
    <w:rsid w:val="00734871"/>
    <w:rsid w:val="00734949"/>
    <w:rsid w:val="00734F84"/>
    <w:rsid w:val="007353F8"/>
    <w:rsid w:val="00735F9D"/>
    <w:rsid w:val="00736766"/>
    <w:rsid w:val="007404AB"/>
    <w:rsid w:val="007427E8"/>
    <w:rsid w:val="00742F4D"/>
    <w:rsid w:val="00743918"/>
    <w:rsid w:val="00744897"/>
    <w:rsid w:val="00744C16"/>
    <w:rsid w:val="007456D2"/>
    <w:rsid w:val="00745AFD"/>
    <w:rsid w:val="00747957"/>
    <w:rsid w:val="00747B06"/>
    <w:rsid w:val="00747C7E"/>
    <w:rsid w:val="00750E62"/>
    <w:rsid w:val="00751013"/>
    <w:rsid w:val="007516AC"/>
    <w:rsid w:val="007546D1"/>
    <w:rsid w:val="0075609B"/>
    <w:rsid w:val="007561F1"/>
    <w:rsid w:val="0075736B"/>
    <w:rsid w:val="0076121F"/>
    <w:rsid w:val="007621B1"/>
    <w:rsid w:val="00762E5A"/>
    <w:rsid w:val="00762F86"/>
    <w:rsid w:val="00763AA8"/>
    <w:rsid w:val="007645DD"/>
    <w:rsid w:val="007646D1"/>
    <w:rsid w:val="00764BF1"/>
    <w:rsid w:val="00765099"/>
    <w:rsid w:val="007655B3"/>
    <w:rsid w:val="00767903"/>
    <w:rsid w:val="00770BD3"/>
    <w:rsid w:val="0077354D"/>
    <w:rsid w:val="0077450F"/>
    <w:rsid w:val="00774F1F"/>
    <w:rsid w:val="007756BA"/>
    <w:rsid w:val="00776B9D"/>
    <w:rsid w:val="007772AD"/>
    <w:rsid w:val="00781419"/>
    <w:rsid w:val="00783465"/>
    <w:rsid w:val="00783EDD"/>
    <w:rsid w:val="00784237"/>
    <w:rsid w:val="00785E5E"/>
    <w:rsid w:val="0078612D"/>
    <w:rsid w:val="00786481"/>
    <w:rsid w:val="007870CF"/>
    <w:rsid w:val="0078757B"/>
    <w:rsid w:val="00787A33"/>
    <w:rsid w:val="00787B91"/>
    <w:rsid w:val="00787FB9"/>
    <w:rsid w:val="0079110A"/>
    <w:rsid w:val="007916BF"/>
    <w:rsid w:val="00792DEB"/>
    <w:rsid w:val="00792E26"/>
    <w:rsid w:val="007933CA"/>
    <w:rsid w:val="00794D43"/>
    <w:rsid w:val="0079526F"/>
    <w:rsid w:val="0079539B"/>
    <w:rsid w:val="007956B8"/>
    <w:rsid w:val="00795795"/>
    <w:rsid w:val="00795903"/>
    <w:rsid w:val="00795EE2"/>
    <w:rsid w:val="007A0EE2"/>
    <w:rsid w:val="007A1B09"/>
    <w:rsid w:val="007A46B2"/>
    <w:rsid w:val="007A4A6F"/>
    <w:rsid w:val="007B02C3"/>
    <w:rsid w:val="007B25D6"/>
    <w:rsid w:val="007B2625"/>
    <w:rsid w:val="007B3033"/>
    <w:rsid w:val="007B42B9"/>
    <w:rsid w:val="007B48FE"/>
    <w:rsid w:val="007B5DEF"/>
    <w:rsid w:val="007B5E0A"/>
    <w:rsid w:val="007B5F0E"/>
    <w:rsid w:val="007C1E56"/>
    <w:rsid w:val="007C3594"/>
    <w:rsid w:val="007C4BE7"/>
    <w:rsid w:val="007C5740"/>
    <w:rsid w:val="007C57EA"/>
    <w:rsid w:val="007C64F4"/>
    <w:rsid w:val="007C6721"/>
    <w:rsid w:val="007C743A"/>
    <w:rsid w:val="007D0103"/>
    <w:rsid w:val="007D1113"/>
    <w:rsid w:val="007D17FD"/>
    <w:rsid w:val="007D2443"/>
    <w:rsid w:val="007D2B90"/>
    <w:rsid w:val="007D3560"/>
    <w:rsid w:val="007D36B3"/>
    <w:rsid w:val="007D446F"/>
    <w:rsid w:val="007D58CE"/>
    <w:rsid w:val="007D5F14"/>
    <w:rsid w:val="007D72EB"/>
    <w:rsid w:val="007D76DF"/>
    <w:rsid w:val="007E0C55"/>
    <w:rsid w:val="007E0FE3"/>
    <w:rsid w:val="007E27EC"/>
    <w:rsid w:val="007E39F2"/>
    <w:rsid w:val="007E43D9"/>
    <w:rsid w:val="007E5A38"/>
    <w:rsid w:val="007E5DB1"/>
    <w:rsid w:val="007E6A53"/>
    <w:rsid w:val="007E74FA"/>
    <w:rsid w:val="007F02BF"/>
    <w:rsid w:val="007F0463"/>
    <w:rsid w:val="007F1B07"/>
    <w:rsid w:val="007F1C5E"/>
    <w:rsid w:val="007F2226"/>
    <w:rsid w:val="007F2CFB"/>
    <w:rsid w:val="007F3885"/>
    <w:rsid w:val="007F6BD0"/>
    <w:rsid w:val="007F72D3"/>
    <w:rsid w:val="007F79E0"/>
    <w:rsid w:val="0080378F"/>
    <w:rsid w:val="00804F95"/>
    <w:rsid w:val="00805185"/>
    <w:rsid w:val="0080693E"/>
    <w:rsid w:val="00807637"/>
    <w:rsid w:val="008077C4"/>
    <w:rsid w:val="00810F3E"/>
    <w:rsid w:val="0081321E"/>
    <w:rsid w:val="00813ADA"/>
    <w:rsid w:val="00815517"/>
    <w:rsid w:val="00815C18"/>
    <w:rsid w:val="0081658C"/>
    <w:rsid w:val="00817532"/>
    <w:rsid w:val="00817E6F"/>
    <w:rsid w:val="008221FB"/>
    <w:rsid w:val="0082456F"/>
    <w:rsid w:val="008253E0"/>
    <w:rsid w:val="0082554B"/>
    <w:rsid w:val="00825611"/>
    <w:rsid w:val="00825AB5"/>
    <w:rsid w:val="0082635F"/>
    <w:rsid w:val="00827541"/>
    <w:rsid w:val="00830D52"/>
    <w:rsid w:val="00831516"/>
    <w:rsid w:val="008323DD"/>
    <w:rsid w:val="00833A8C"/>
    <w:rsid w:val="008340D1"/>
    <w:rsid w:val="008343ED"/>
    <w:rsid w:val="008344C4"/>
    <w:rsid w:val="00834783"/>
    <w:rsid w:val="00835CB4"/>
    <w:rsid w:val="00835EB4"/>
    <w:rsid w:val="008360BC"/>
    <w:rsid w:val="008370D6"/>
    <w:rsid w:val="0084063D"/>
    <w:rsid w:val="00843339"/>
    <w:rsid w:val="00844583"/>
    <w:rsid w:val="00844E67"/>
    <w:rsid w:val="00845B6F"/>
    <w:rsid w:val="00845D6D"/>
    <w:rsid w:val="00845FBB"/>
    <w:rsid w:val="008464EF"/>
    <w:rsid w:val="00846D46"/>
    <w:rsid w:val="00850114"/>
    <w:rsid w:val="008501AC"/>
    <w:rsid w:val="008512CA"/>
    <w:rsid w:val="0085183B"/>
    <w:rsid w:val="008523F7"/>
    <w:rsid w:val="00852CBA"/>
    <w:rsid w:val="00855664"/>
    <w:rsid w:val="00855BAC"/>
    <w:rsid w:val="00856831"/>
    <w:rsid w:val="008602F5"/>
    <w:rsid w:val="00861E37"/>
    <w:rsid w:val="00862C38"/>
    <w:rsid w:val="0086359B"/>
    <w:rsid w:val="0086406F"/>
    <w:rsid w:val="0086614A"/>
    <w:rsid w:val="008715F3"/>
    <w:rsid w:val="00872A1C"/>
    <w:rsid w:val="008754A8"/>
    <w:rsid w:val="00875B4D"/>
    <w:rsid w:val="0087618A"/>
    <w:rsid w:val="008767A8"/>
    <w:rsid w:val="00876E10"/>
    <w:rsid w:val="00876E4F"/>
    <w:rsid w:val="00881395"/>
    <w:rsid w:val="00881C33"/>
    <w:rsid w:val="00881E45"/>
    <w:rsid w:val="00881EA2"/>
    <w:rsid w:val="008821EE"/>
    <w:rsid w:val="00884AF4"/>
    <w:rsid w:val="008903A3"/>
    <w:rsid w:val="008906A3"/>
    <w:rsid w:val="00890FBB"/>
    <w:rsid w:val="008912F7"/>
    <w:rsid w:val="0089197C"/>
    <w:rsid w:val="008926B9"/>
    <w:rsid w:val="00892953"/>
    <w:rsid w:val="0089573A"/>
    <w:rsid w:val="00895C34"/>
    <w:rsid w:val="008A2000"/>
    <w:rsid w:val="008A41FC"/>
    <w:rsid w:val="008A6392"/>
    <w:rsid w:val="008A68F1"/>
    <w:rsid w:val="008A7D58"/>
    <w:rsid w:val="008B0649"/>
    <w:rsid w:val="008B2229"/>
    <w:rsid w:val="008B5096"/>
    <w:rsid w:val="008B676F"/>
    <w:rsid w:val="008B68AE"/>
    <w:rsid w:val="008B698B"/>
    <w:rsid w:val="008B69F1"/>
    <w:rsid w:val="008B6C5B"/>
    <w:rsid w:val="008B7421"/>
    <w:rsid w:val="008B75B0"/>
    <w:rsid w:val="008C0385"/>
    <w:rsid w:val="008C0453"/>
    <w:rsid w:val="008C0BF3"/>
    <w:rsid w:val="008C1482"/>
    <w:rsid w:val="008C259E"/>
    <w:rsid w:val="008C3B56"/>
    <w:rsid w:val="008C3F5A"/>
    <w:rsid w:val="008C4262"/>
    <w:rsid w:val="008C4D9D"/>
    <w:rsid w:val="008C5D62"/>
    <w:rsid w:val="008C6219"/>
    <w:rsid w:val="008C6257"/>
    <w:rsid w:val="008C639E"/>
    <w:rsid w:val="008C69A8"/>
    <w:rsid w:val="008C79BC"/>
    <w:rsid w:val="008D164B"/>
    <w:rsid w:val="008D3960"/>
    <w:rsid w:val="008D3F0E"/>
    <w:rsid w:val="008D452C"/>
    <w:rsid w:val="008D49BE"/>
    <w:rsid w:val="008D55BA"/>
    <w:rsid w:val="008D5DB3"/>
    <w:rsid w:val="008D66E9"/>
    <w:rsid w:val="008D6C5F"/>
    <w:rsid w:val="008D72EC"/>
    <w:rsid w:val="008D7D52"/>
    <w:rsid w:val="008E073C"/>
    <w:rsid w:val="008E0F3F"/>
    <w:rsid w:val="008E3AC9"/>
    <w:rsid w:val="008E3D8A"/>
    <w:rsid w:val="008E43BA"/>
    <w:rsid w:val="008E5898"/>
    <w:rsid w:val="008E5B32"/>
    <w:rsid w:val="008E67E8"/>
    <w:rsid w:val="008E6DB9"/>
    <w:rsid w:val="008E71CE"/>
    <w:rsid w:val="008F0060"/>
    <w:rsid w:val="008F00BA"/>
    <w:rsid w:val="008F1CB2"/>
    <w:rsid w:val="008F3E5F"/>
    <w:rsid w:val="008F69DB"/>
    <w:rsid w:val="008F73AC"/>
    <w:rsid w:val="00900046"/>
    <w:rsid w:val="00900E4A"/>
    <w:rsid w:val="00900EAF"/>
    <w:rsid w:val="00902A88"/>
    <w:rsid w:val="00902B57"/>
    <w:rsid w:val="00903ABD"/>
    <w:rsid w:val="00904681"/>
    <w:rsid w:val="009054E1"/>
    <w:rsid w:val="00907A6D"/>
    <w:rsid w:val="0091027D"/>
    <w:rsid w:val="00911646"/>
    <w:rsid w:val="00912EFF"/>
    <w:rsid w:val="00912F09"/>
    <w:rsid w:val="0091386F"/>
    <w:rsid w:val="00913F90"/>
    <w:rsid w:val="009147A6"/>
    <w:rsid w:val="009156CF"/>
    <w:rsid w:val="00915EFF"/>
    <w:rsid w:val="00915F8C"/>
    <w:rsid w:val="00916B87"/>
    <w:rsid w:val="00917580"/>
    <w:rsid w:val="0091780F"/>
    <w:rsid w:val="00921059"/>
    <w:rsid w:val="00923012"/>
    <w:rsid w:val="0092379D"/>
    <w:rsid w:val="00924ACB"/>
    <w:rsid w:val="00927A25"/>
    <w:rsid w:val="00927AF2"/>
    <w:rsid w:val="00931FD9"/>
    <w:rsid w:val="00932DD2"/>
    <w:rsid w:val="009334BF"/>
    <w:rsid w:val="00933C05"/>
    <w:rsid w:val="00933CCB"/>
    <w:rsid w:val="00935596"/>
    <w:rsid w:val="00935682"/>
    <w:rsid w:val="00935C27"/>
    <w:rsid w:val="00937673"/>
    <w:rsid w:val="00937BBA"/>
    <w:rsid w:val="00937E38"/>
    <w:rsid w:val="00944855"/>
    <w:rsid w:val="00945E87"/>
    <w:rsid w:val="00950EE4"/>
    <w:rsid w:val="00951602"/>
    <w:rsid w:val="009516A6"/>
    <w:rsid w:val="00952641"/>
    <w:rsid w:val="009527EC"/>
    <w:rsid w:val="0095699C"/>
    <w:rsid w:val="00957039"/>
    <w:rsid w:val="00957E16"/>
    <w:rsid w:val="00957EAA"/>
    <w:rsid w:val="00960079"/>
    <w:rsid w:val="0096125A"/>
    <w:rsid w:val="009619AB"/>
    <w:rsid w:val="00962D77"/>
    <w:rsid w:val="0096364B"/>
    <w:rsid w:val="0096473D"/>
    <w:rsid w:val="00964945"/>
    <w:rsid w:val="00964DE8"/>
    <w:rsid w:val="009658B7"/>
    <w:rsid w:val="009658BB"/>
    <w:rsid w:val="009667C7"/>
    <w:rsid w:val="00967628"/>
    <w:rsid w:val="0096792D"/>
    <w:rsid w:val="0097028A"/>
    <w:rsid w:val="00972783"/>
    <w:rsid w:val="009727DC"/>
    <w:rsid w:val="009746CD"/>
    <w:rsid w:val="00975288"/>
    <w:rsid w:val="0097625D"/>
    <w:rsid w:val="009778C6"/>
    <w:rsid w:val="0098077F"/>
    <w:rsid w:val="009807B3"/>
    <w:rsid w:val="00980CE4"/>
    <w:rsid w:val="009840F8"/>
    <w:rsid w:val="0098518C"/>
    <w:rsid w:val="00985539"/>
    <w:rsid w:val="0098686A"/>
    <w:rsid w:val="00986EF8"/>
    <w:rsid w:val="00987D67"/>
    <w:rsid w:val="00994687"/>
    <w:rsid w:val="009956B9"/>
    <w:rsid w:val="00995888"/>
    <w:rsid w:val="009A0BAA"/>
    <w:rsid w:val="009A0DDA"/>
    <w:rsid w:val="009A2824"/>
    <w:rsid w:val="009A351B"/>
    <w:rsid w:val="009A36A8"/>
    <w:rsid w:val="009A5CBF"/>
    <w:rsid w:val="009A5E79"/>
    <w:rsid w:val="009A5F65"/>
    <w:rsid w:val="009A6706"/>
    <w:rsid w:val="009A78A2"/>
    <w:rsid w:val="009B01A6"/>
    <w:rsid w:val="009B021D"/>
    <w:rsid w:val="009B02CB"/>
    <w:rsid w:val="009B06AC"/>
    <w:rsid w:val="009B072F"/>
    <w:rsid w:val="009B0928"/>
    <w:rsid w:val="009B0A24"/>
    <w:rsid w:val="009B0B82"/>
    <w:rsid w:val="009B14FD"/>
    <w:rsid w:val="009B1CEA"/>
    <w:rsid w:val="009B24F6"/>
    <w:rsid w:val="009B28F7"/>
    <w:rsid w:val="009B31D5"/>
    <w:rsid w:val="009B4D03"/>
    <w:rsid w:val="009B5D82"/>
    <w:rsid w:val="009B5F70"/>
    <w:rsid w:val="009B6E72"/>
    <w:rsid w:val="009B720F"/>
    <w:rsid w:val="009B7D0B"/>
    <w:rsid w:val="009B7EBE"/>
    <w:rsid w:val="009C09F1"/>
    <w:rsid w:val="009C21E6"/>
    <w:rsid w:val="009C2DD0"/>
    <w:rsid w:val="009C3D0B"/>
    <w:rsid w:val="009C6E23"/>
    <w:rsid w:val="009C72C5"/>
    <w:rsid w:val="009D007B"/>
    <w:rsid w:val="009D06FF"/>
    <w:rsid w:val="009D26EB"/>
    <w:rsid w:val="009D3599"/>
    <w:rsid w:val="009D3D49"/>
    <w:rsid w:val="009D53D9"/>
    <w:rsid w:val="009D653A"/>
    <w:rsid w:val="009D70F6"/>
    <w:rsid w:val="009D77FD"/>
    <w:rsid w:val="009E0EAE"/>
    <w:rsid w:val="009E219F"/>
    <w:rsid w:val="009E30F3"/>
    <w:rsid w:val="009E3D26"/>
    <w:rsid w:val="009E6DCD"/>
    <w:rsid w:val="009E7188"/>
    <w:rsid w:val="009E78D3"/>
    <w:rsid w:val="009F1CF5"/>
    <w:rsid w:val="009F309B"/>
    <w:rsid w:val="009F3524"/>
    <w:rsid w:val="009F3E7E"/>
    <w:rsid w:val="009F45F3"/>
    <w:rsid w:val="009F4617"/>
    <w:rsid w:val="009F469A"/>
    <w:rsid w:val="009F4C8C"/>
    <w:rsid w:val="009F4CC6"/>
    <w:rsid w:val="009F5256"/>
    <w:rsid w:val="009F5C86"/>
    <w:rsid w:val="009F6E43"/>
    <w:rsid w:val="009F6FB4"/>
    <w:rsid w:val="009F76F9"/>
    <w:rsid w:val="009F7A95"/>
    <w:rsid w:val="009F7AB6"/>
    <w:rsid w:val="00A001BD"/>
    <w:rsid w:val="00A012F0"/>
    <w:rsid w:val="00A060CC"/>
    <w:rsid w:val="00A06108"/>
    <w:rsid w:val="00A067CF"/>
    <w:rsid w:val="00A07DD0"/>
    <w:rsid w:val="00A10072"/>
    <w:rsid w:val="00A10929"/>
    <w:rsid w:val="00A11CF1"/>
    <w:rsid w:val="00A13819"/>
    <w:rsid w:val="00A13A39"/>
    <w:rsid w:val="00A13C89"/>
    <w:rsid w:val="00A143E6"/>
    <w:rsid w:val="00A148B0"/>
    <w:rsid w:val="00A14B7F"/>
    <w:rsid w:val="00A14CB3"/>
    <w:rsid w:val="00A15570"/>
    <w:rsid w:val="00A16A91"/>
    <w:rsid w:val="00A20A24"/>
    <w:rsid w:val="00A20EDD"/>
    <w:rsid w:val="00A214A0"/>
    <w:rsid w:val="00A21F45"/>
    <w:rsid w:val="00A23DF8"/>
    <w:rsid w:val="00A248CF"/>
    <w:rsid w:val="00A256FE"/>
    <w:rsid w:val="00A25DD5"/>
    <w:rsid w:val="00A2658C"/>
    <w:rsid w:val="00A26EC9"/>
    <w:rsid w:val="00A30436"/>
    <w:rsid w:val="00A319DE"/>
    <w:rsid w:val="00A31DE8"/>
    <w:rsid w:val="00A33040"/>
    <w:rsid w:val="00A333F3"/>
    <w:rsid w:val="00A336AF"/>
    <w:rsid w:val="00A3387F"/>
    <w:rsid w:val="00A34639"/>
    <w:rsid w:val="00A34E4F"/>
    <w:rsid w:val="00A352C5"/>
    <w:rsid w:val="00A358DB"/>
    <w:rsid w:val="00A35B73"/>
    <w:rsid w:val="00A369B4"/>
    <w:rsid w:val="00A36A01"/>
    <w:rsid w:val="00A36CB9"/>
    <w:rsid w:val="00A402F6"/>
    <w:rsid w:val="00A417ED"/>
    <w:rsid w:val="00A4215D"/>
    <w:rsid w:val="00A429A9"/>
    <w:rsid w:val="00A42FFE"/>
    <w:rsid w:val="00A43155"/>
    <w:rsid w:val="00A4644D"/>
    <w:rsid w:val="00A500E0"/>
    <w:rsid w:val="00A50A39"/>
    <w:rsid w:val="00A521D7"/>
    <w:rsid w:val="00A52707"/>
    <w:rsid w:val="00A53055"/>
    <w:rsid w:val="00A53465"/>
    <w:rsid w:val="00A55CD6"/>
    <w:rsid w:val="00A560A1"/>
    <w:rsid w:val="00A565F3"/>
    <w:rsid w:val="00A5722F"/>
    <w:rsid w:val="00A607BA"/>
    <w:rsid w:val="00A60E1D"/>
    <w:rsid w:val="00A61A43"/>
    <w:rsid w:val="00A61D0D"/>
    <w:rsid w:val="00A634B8"/>
    <w:rsid w:val="00A6677B"/>
    <w:rsid w:val="00A679B7"/>
    <w:rsid w:val="00A70F95"/>
    <w:rsid w:val="00A71385"/>
    <w:rsid w:val="00A7244D"/>
    <w:rsid w:val="00A7349D"/>
    <w:rsid w:val="00A73BE1"/>
    <w:rsid w:val="00A7465D"/>
    <w:rsid w:val="00A74D7B"/>
    <w:rsid w:val="00A75BC4"/>
    <w:rsid w:val="00A76DFA"/>
    <w:rsid w:val="00A7768D"/>
    <w:rsid w:val="00A77CED"/>
    <w:rsid w:val="00A80C57"/>
    <w:rsid w:val="00A80FFB"/>
    <w:rsid w:val="00A842C5"/>
    <w:rsid w:val="00A853E5"/>
    <w:rsid w:val="00A85D2D"/>
    <w:rsid w:val="00A90396"/>
    <w:rsid w:val="00A907CC"/>
    <w:rsid w:val="00A907EF"/>
    <w:rsid w:val="00A90ADE"/>
    <w:rsid w:val="00A90E67"/>
    <w:rsid w:val="00A9109F"/>
    <w:rsid w:val="00A915ED"/>
    <w:rsid w:val="00A91A69"/>
    <w:rsid w:val="00A92CED"/>
    <w:rsid w:val="00A9331E"/>
    <w:rsid w:val="00A9581F"/>
    <w:rsid w:val="00A959C6"/>
    <w:rsid w:val="00A95F07"/>
    <w:rsid w:val="00A96A81"/>
    <w:rsid w:val="00A96E67"/>
    <w:rsid w:val="00A973E7"/>
    <w:rsid w:val="00A9782B"/>
    <w:rsid w:val="00AA0A1F"/>
    <w:rsid w:val="00AA1C05"/>
    <w:rsid w:val="00AA1C24"/>
    <w:rsid w:val="00AA3CD5"/>
    <w:rsid w:val="00AA3D54"/>
    <w:rsid w:val="00AA52B4"/>
    <w:rsid w:val="00AA54A3"/>
    <w:rsid w:val="00AA66DB"/>
    <w:rsid w:val="00AB00D0"/>
    <w:rsid w:val="00AB05B1"/>
    <w:rsid w:val="00AB0A16"/>
    <w:rsid w:val="00AB5973"/>
    <w:rsid w:val="00AB630D"/>
    <w:rsid w:val="00AB74E5"/>
    <w:rsid w:val="00AC0DA7"/>
    <w:rsid w:val="00AC20C3"/>
    <w:rsid w:val="00AC30D7"/>
    <w:rsid w:val="00AC3819"/>
    <w:rsid w:val="00AC3AAA"/>
    <w:rsid w:val="00AC4101"/>
    <w:rsid w:val="00AC49B2"/>
    <w:rsid w:val="00AC7568"/>
    <w:rsid w:val="00AC7B2C"/>
    <w:rsid w:val="00AD01F7"/>
    <w:rsid w:val="00AD0FAB"/>
    <w:rsid w:val="00AD259A"/>
    <w:rsid w:val="00AD3046"/>
    <w:rsid w:val="00AD3E0D"/>
    <w:rsid w:val="00AE0631"/>
    <w:rsid w:val="00AE2BB4"/>
    <w:rsid w:val="00AE4477"/>
    <w:rsid w:val="00AE4CAA"/>
    <w:rsid w:val="00AE6741"/>
    <w:rsid w:val="00AE6E8B"/>
    <w:rsid w:val="00AE7727"/>
    <w:rsid w:val="00AE7E44"/>
    <w:rsid w:val="00AF1D01"/>
    <w:rsid w:val="00AF1F49"/>
    <w:rsid w:val="00AF22BF"/>
    <w:rsid w:val="00AF2E04"/>
    <w:rsid w:val="00AF34D3"/>
    <w:rsid w:val="00AF4BF1"/>
    <w:rsid w:val="00AF5F81"/>
    <w:rsid w:val="00AF691B"/>
    <w:rsid w:val="00AF7216"/>
    <w:rsid w:val="00AF74C5"/>
    <w:rsid w:val="00B00F97"/>
    <w:rsid w:val="00B01B51"/>
    <w:rsid w:val="00B031E3"/>
    <w:rsid w:val="00B0381D"/>
    <w:rsid w:val="00B04B77"/>
    <w:rsid w:val="00B04E0D"/>
    <w:rsid w:val="00B053D3"/>
    <w:rsid w:val="00B0738E"/>
    <w:rsid w:val="00B11A38"/>
    <w:rsid w:val="00B1365B"/>
    <w:rsid w:val="00B1522C"/>
    <w:rsid w:val="00B173EA"/>
    <w:rsid w:val="00B20D18"/>
    <w:rsid w:val="00B212E2"/>
    <w:rsid w:val="00B2176F"/>
    <w:rsid w:val="00B21A14"/>
    <w:rsid w:val="00B23593"/>
    <w:rsid w:val="00B23F28"/>
    <w:rsid w:val="00B2428F"/>
    <w:rsid w:val="00B24563"/>
    <w:rsid w:val="00B265FF"/>
    <w:rsid w:val="00B303B6"/>
    <w:rsid w:val="00B314C8"/>
    <w:rsid w:val="00B32280"/>
    <w:rsid w:val="00B3230A"/>
    <w:rsid w:val="00B33F60"/>
    <w:rsid w:val="00B34922"/>
    <w:rsid w:val="00B368F6"/>
    <w:rsid w:val="00B370DB"/>
    <w:rsid w:val="00B37447"/>
    <w:rsid w:val="00B37EBB"/>
    <w:rsid w:val="00B41DC6"/>
    <w:rsid w:val="00B41F75"/>
    <w:rsid w:val="00B4220F"/>
    <w:rsid w:val="00B42CE5"/>
    <w:rsid w:val="00B43CB8"/>
    <w:rsid w:val="00B451E4"/>
    <w:rsid w:val="00B45CD4"/>
    <w:rsid w:val="00B46743"/>
    <w:rsid w:val="00B46D74"/>
    <w:rsid w:val="00B47370"/>
    <w:rsid w:val="00B4739B"/>
    <w:rsid w:val="00B47661"/>
    <w:rsid w:val="00B50679"/>
    <w:rsid w:val="00B5087D"/>
    <w:rsid w:val="00B50AC4"/>
    <w:rsid w:val="00B50D2E"/>
    <w:rsid w:val="00B51945"/>
    <w:rsid w:val="00B51B90"/>
    <w:rsid w:val="00B53A60"/>
    <w:rsid w:val="00B53EA7"/>
    <w:rsid w:val="00B54557"/>
    <w:rsid w:val="00B545D3"/>
    <w:rsid w:val="00B548E3"/>
    <w:rsid w:val="00B54C77"/>
    <w:rsid w:val="00B6011C"/>
    <w:rsid w:val="00B606F0"/>
    <w:rsid w:val="00B61DE2"/>
    <w:rsid w:val="00B62DC8"/>
    <w:rsid w:val="00B63279"/>
    <w:rsid w:val="00B639AB"/>
    <w:rsid w:val="00B63C54"/>
    <w:rsid w:val="00B63EBA"/>
    <w:rsid w:val="00B63FF6"/>
    <w:rsid w:val="00B648AA"/>
    <w:rsid w:val="00B65402"/>
    <w:rsid w:val="00B664DC"/>
    <w:rsid w:val="00B66EE5"/>
    <w:rsid w:val="00B6785F"/>
    <w:rsid w:val="00B7063B"/>
    <w:rsid w:val="00B70A5A"/>
    <w:rsid w:val="00B71AFF"/>
    <w:rsid w:val="00B73919"/>
    <w:rsid w:val="00B757DC"/>
    <w:rsid w:val="00B76818"/>
    <w:rsid w:val="00B77B3F"/>
    <w:rsid w:val="00B80195"/>
    <w:rsid w:val="00B80E50"/>
    <w:rsid w:val="00B811AC"/>
    <w:rsid w:val="00B81837"/>
    <w:rsid w:val="00B82791"/>
    <w:rsid w:val="00B8435D"/>
    <w:rsid w:val="00B84E3B"/>
    <w:rsid w:val="00B86C61"/>
    <w:rsid w:val="00B877E2"/>
    <w:rsid w:val="00B87B92"/>
    <w:rsid w:val="00B90867"/>
    <w:rsid w:val="00B90C03"/>
    <w:rsid w:val="00B91151"/>
    <w:rsid w:val="00B918DE"/>
    <w:rsid w:val="00B92395"/>
    <w:rsid w:val="00B924D2"/>
    <w:rsid w:val="00B929C7"/>
    <w:rsid w:val="00B93163"/>
    <w:rsid w:val="00B93278"/>
    <w:rsid w:val="00B94C7C"/>
    <w:rsid w:val="00B959CD"/>
    <w:rsid w:val="00B96729"/>
    <w:rsid w:val="00B978C3"/>
    <w:rsid w:val="00BA02D9"/>
    <w:rsid w:val="00BA06AF"/>
    <w:rsid w:val="00BA1B43"/>
    <w:rsid w:val="00BA1E73"/>
    <w:rsid w:val="00BA283B"/>
    <w:rsid w:val="00BA2DD9"/>
    <w:rsid w:val="00BA3D9B"/>
    <w:rsid w:val="00BA4838"/>
    <w:rsid w:val="00BA4BAD"/>
    <w:rsid w:val="00BA4E59"/>
    <w:rsid w:val="00BA633A"/>
    <w:rsid w:val="00BA6C48"/>
    <w:rsid w:val="00BA79BB"/>
    <w:rsid w:val="00BB14F2"/>
    <w:rsid w:val="00BB1C9F"/>
    <w:rsid w:val="00BB2FEF"/>
    <w:rsid w:val="00BB3890"/>
    <w:rsid w:val="00BB4832"/>
    <w:rsid w:val="00BB5266"/>
    <w:rsid w:val="00BB603B"/>
    <w:rsid w:val="00BB6842"/>
    <w:rsid w:val="00BB76D7"/>
    <w:rsid w:val="00BB7E89"/>
    <w:rsid w:val="00BB7FD4"/>
    <w:rsid w:val="00BC19E6"/>
    <w:rsid w:val="00BC23C8"/>
    <w:rsid w:val="00BC2595"/>
    <w:rsid w:val="00BC38C2"/>
    <w:rsid w:val="00BC3F07"/>
    <w:rsid w:val="00BC66F9"/>
    <w:rsid w:val="00BC71C3"/>
    <w:rsid w:val="00BC7D60"/>
    <w:rsid w:val="00BD0698"/>
    <w:rsid w:val="00BD0D8B"/>
    <w:rsid w:val="00BD1138"/>
    <w:rsid w:val="00BD1EEF"/>
    <w:rsid w:val="00BD38F2"/>
    <w:rsid w:val="00BD6047"/>
    <w:rsid w:val="00BD6EEC"/>
    <w:rsid w:val="00BD710B"/>
    <w:rsid w:val="00BD7707"/>
    <w:rsid w:val="00BE163E"/>
    <w:rsid w:val="00BE2469"/>
    <w:rsid w:val="00BE347C"/>
    <w:rsid w:val="00BE57FA"/>
    <w:rsid w:val="00BF23CA"/>
    <w:rsid w:val="00BF2514"/>
    <w:rsid w:val="00BF3171"/>
    <w:rsid w:val="00BF38E8"/>
    <w:rsid w:val="00BF644C"/>
    <w:rsid w:val="00BF68F4"/>
    <w:rsid w:val="00BF71F8"/>
    <w:rsid w:val="00BF72E4"/>
    <w:rsid w:val="00C01289"/>
    <w:rsid w:val="00C0200E"/>
    <w:rsid w:val="00C03C73"/>
    <w:rsid w:val="00C053B5"/>
    <w:rsid w:val="00C0637D"/>
    <w:rsid w:val="00C0706D"/>
    <w:rsid w:val="00C075D6"/>
    <w:rsid w:val="00C10655"/>
    <w:rsid w:val="00C1189C"/>
    <w:rsid w:val="00C11E30"/>
    <w:rsid w:val="00C1258C"/>
    <w:rsid w:val="00C128A1"/>
    <w:rsid w:val="00C15147"/>
    <w:rsid w:val="00C155E5"/>
    <w:rsid w:val="00C16D60"/>
    <w:rsid w:val="00C173FE"/>
    <w:rsid w:val="00C178B9"/>
    <w:rsid w:val="00C17BB0"/>
    <w:rsid w:val="00C17FA9"/>
    <w:rsid w:val="00C20F34"/>
    <w:rsid w:val="00C21193"/>
    <w:rsid w:val="00C223A3"/>
    <w:rsid w:val="00C238C4"/>
    <w:rsid w:val="00C23F51"/>
    <w:rsid w:val="00C25A05"/>
    <w:rsid w:val="00C26142"/>
    <w:rsid w:val="00C27044"/>
    <w:rsid w:val="00C30D23"/>
    <w:rsid w:val="00C31A09"/>
    <w:rsid w:val="00C33364"/>
    <w:rsid w:val="00C343EC"/>
    <w:rsid w:val="00C34488"/>
    <w:rsid w:val="00C357EB"/>
    <w:rsid w:val="00C36197"/>
    <w:rsid w:val="00C363FC"/>
    <w:rsid w:val="00C37393"/>
    <w:rsid w:val="00C4020E"/>
    <w:rsid w:val="00C405F9"/>
    <w:rsid w:val="00C4190E"/>
    <w:rsid w:val="00C43871"/>
    <w:rsid w:val="00C44438"/>
    <w:rsid w:val="00C45401"/>
    <w:rsid w:val="00C455C4"/>
    <w:rsid w:val="00C467D8"/>
    <w:rsid w:val="00C5119D"/>
    <w:rsid w:val="00C515C8"/>
    <w:rsid w:val="00C51EC8"/>
    <w:rsid w:val="00C51F58"/>
    <w:rsid w:val="00C51F6C"/>
    <w:rsid w:val="00C5282B"/>
    <w:rsid w:val="00C529A5"/>
    <w:rsid w:val="00C5383E"/>
    <w:rsid w:val="00C53B03"/>
    <w:rsid w:val="00C53CE6"/>
    <w:rsid w:val="00C5725E"/>
    <w:rsid w:val="00C609DD"/>
    <w:rsid w:val="00C611CA"/>
    <w:rsid w:val="00C61CE5"/>
    <w:rsid w:val="00C61D9F"/>
    <w:rsid w:val="00C61ED2"/>
    <w:rsid w:val="00C62097"/>
    <w:rsid w:val="00C62E7A"/>
    <w:rsid w:val="00C632ED"/>
    <w:rsid w:val="00C6435B"/>
    <w:rsid w:val="00C650DB"/>
    <w:rsid w:val="00C65D76"/>
    <w:rsid w:val="00C65E65"/>
    <w:rsid w:val="00C669F7"/>
    <w:rsid w:val="00C66D41"/>
    <w:rsid w:val="00C7111C"/>
    <w:rsid w:val="00C7148F"/>
    <w:rsid w:val="00C7182A"/>
    <w:rsid w:val="00C71847"/>
    <w:rsid w:val="00C72531"/>
    <w:rsid w:val="00C72E18"/>
    <w:rsid w:val="00C7324D"/>
    <w:rsid w:val="00C74A74"/>
    <w:rsid w:val="00C74CD6"/>
    <w:rsid w:val="00C74CFE"/>
    <w:rsid w:val="00C75150"/>
    <w:rsid w:val="00C75FE0"/>
    <w:rsid w:val="00C76A42"/>
    <w:rsid w:val="00C76DC4"/>
    <w:rsid w:val="00C77CAE"/>
    <w:rsid w:val="00C77F1A"/>
    <w:rsid w:val="00C81833"/>
    <w:rsid w:val="00C81DF8"/>
    <w:rsid w:val="00C8278E"/>
    <w:rsid w:val="00C82C9B"/>
    <w:rsid w:val="00C84DE8"/>
    <w:rsid w:val="00C84E95"/>
    <w:rsid w:val="00C8532D"/>
    <w:rsid w:val="00C8652F"/>
    <w:rsid w:val="00C87B5A"/>
    <w:rsid w:val="00C907E2"/>
    <w:rsid w:val="00C90D57"/>
    <w:rsid w:val="00C91332"/>
    <w:rsid w:val="00C91920"/>
    <w:rsid w:val="00C92022"/>
    <w:rsid w:val="00C920B9"/>
    <w:rsid w:val="00C93495"/>
    <w:rsid w:val="00C93876"/>
    <w:rsid w:val="00C93DB8"/>
    <w:rsid w:val="00C941BF"/>
    <w:rsid w:val="00C950B6"/>
    <w:rsid w:val="00C95401"/>
    <w:rsid w:val="00C9577A"/>
    <w:rsid w:val="00C95936"/>
    <w:rsid w:val="00C96B8F"/>
    <w:rsid w:val="00C96E9F"/>
    <w:rsid w:val="00C976BD"/>
    <w:rsid w:val="00C97E0B"/>
    <w:rsid w:val="00CA0135"/>
    <w:rsid w:val="00CA0D34"/>
    <w:rsid w:val="00CA1A85"/>
    <w:rsid w:val="00CA1F17"/>
    <w:rsid w:val="00CA2535"/>
    <w:rsid w:val="00CA2E16"/>
    <w:rsid w:val="00CA32B3"/>
    <w:rsid w:val="00CA3DD0"/>
    <w:rsid w:val="00CA3E2E"/>
    <w:rsid w:val="00CA4EA4"/>
    <w:rsid w:val="00CA71EE"/>
    <w:rsid w:val="00CA7929"/>
    <w:rsid w:val="00CA7CB8"/>
    <w:rsid w:val="00CB036B"/>
    <w:rsid w:val="00CB0DE7"/>
    <w:rsid w:val="00CB1BB0"/>
    <w:rsid w:val="00CB1FFD"/>
    <w:rsid w:val="00CB43F8"/>
    <w:rsid w:val="00CB4753"/>
    <w:rsid w:val="00CB4D61"/>
    <w:rsid w:val="00CB600B"/>
    <w:rsid w:val="00CB610D"/>
    <w:rsid w:val="00CB6306"/>
    <w:rsid w:val="00CB65B1"/>
    <w:rsid w:val="00CC0BD4"/>
    <w:rsid w:val="00CC33E5"/>
    <w:rsid w:val="00CC3578"/>
    <w:rsid w:val="00CC3704"/>
    <w:rsid w:val="00CC3D58"/>
    <w:rsid w:val="00CC4E69"/>
    <w:rsid w:val="00CC54F1"/>
    <w:rsid w:val="00CC5AB5"/>
    <w:rsid w:val="00CC627C"/>
    <w:rsid w:val="00CC7DBC"/>
    <w:rsid w:val="00CD0470"/>
    <w:rsid w:val="00CD1502"/>
    <w:rsid w:val="00CD4139"/>
    <w:rsid w:val="00CD43FF"/>
    <w:rsid w:val="00CD619B"/>
    <w:rsid w:val="00CD7185"/>
    <w:rsid w:val="00CD7FFC"/>
    <w:rsid w:val="00CE0EEB"/>
    <w:rsid w:val="00CE0F31"/>
    <w:rsid w:val="00CE2C35"/>
    <w:rsid w:val="00CE5E76"/>
    <w:rsid w:val="00CE647B"/>
    <w:rsid w:val="00CE6EF7"/>
    <w:rsid w:val="00CF0019"/>
    <w:rsid w:val="00CF15AF"/>
    <w:rsid w:val="00CF1E89"/>
    <w:rsid w:val="00CF2562"/>
    <w:rsid w:val="00CF3D2D"/>
    <w:rsid w:val="00CF4A4A"/>
    <w:rsid w:val="00CF4A8F"/>
    <w:rsid w:val="00CF57BF"/>
    <w:rsid w:val="00CF7972"/>
    <w:rsid w:val="00CF7B5A"/>
    <w:rsid w:val="00D001F6"/>
    <w:rsid w:val="00D00546"/>
    <w:rsid w:val="00D0110A"/>
    <w:rsid w:val="00D012C1"/>
    <w:rsid w:val="00D0159C"/>
    <w:rsid w:val="00D041FC"/>
    <w:rsid w:val="00D0426E"/>
    <w:rsid w:val="00D0471B"/>
    <w:rsid w:val="00D05CCD"/>
    <w:rsid w:val="00D06138"/>
    <w:rsid w:val="00D06E38"/>
    <w:rsid w:val="00D07B04"/>
    <w:rsid w:val="00D11413"/>
    <w:rsid w:val="00D119B9"/>
    <w:rsid w:val="00D11A56"/>
    <w:rsid w:val="00D13490"/>
    <w:rsid w:val="00D13D89"/>
    <w:rsid w:val="00D140E9"/>
    <w:rsid w:val="00D15EFA"/>
    <w:rsid w:val="00D16987"/>
    <w:rsid w:val="00D16BA4"/>
    <w:rsid w:val="00D17D1A"/>
    <w:rsid w:val="00D17DB4"/>
    <w:rsid w:val="00D20574"/>
    <w:rsid w:val="00D2161D"/>
    <w:rsid w:val="00D23EAD"/>
    <w:rsid w:val="00D26456"/>
    <w:rsid w:val="00D30154"/>
    <w:rsid w:val="00D31FBB"/>
    <w:rsid w:val="00D335B4"/>
    <w:rsid w:val="00D34BD1"/>
    <w:rsid w:val="00D35C56"/>
    <w:rsid w:val="00D35E3A"/>
    <w:rsid w:val="00D4001C"/>
    <w:rsid w:val="00D402AC"/>
    <w:rsid w:val="00D41F4B"/>
    <w:rsid w:val="00D42633"/>
    <w:rsid w:val="00D42AB0"/>
    <w:rsid w:val="00D42AEB"/>
    <w:rsid w:val="00D43D97"/>
    <w:rsid w:val="00D44872"/>
    <w:rsid w:val="00D460E2"/>
    <w:rsid w:val="00D47049"/>
    <w:rsid w:val="00D472D5"/>
    <w:rsid w:val="00D51E47"/>
    <w:rsid w:val="00D52189"/>
    <w:rsid w:val="00D52726"/>
    <w:rsid w:val="00D52CD0"/>
    <w:rsid w:val="00D53418"/>
    <w:rsid w:val="00D5416A"/>
    <w:rsid w:val="00D54D27"/>
    <w:rsid w:val="00D55433"/>
    <w:rsid w:val="00D55F09"/>
    <w:rsid w:val="00D56700"/>
    <w:rsid w:val="00D5743D"/>
    <w:rsid w:val="00D57D21"/>
    <w:rsid w:val="00D62E0D"/>
    <w:rsid w:val="00D6477C"/>
    <w:rsid w:val="00D65C79"/>
    <w:rsid w:val="00D70A2B"/>
    <w:rsid w:val="00D714C8"/>
    <w:rsid w:val="00D725CB"/>
    <w:rsid w:val="00D73926"/>
    <w:rsid w:val="00D7467B"/>
    <w:rsid w:val="00D75C20"/>
    <w:rsid w:val="00D760B9"/>
    <w:rsid w:val="00D7670F"/>
    <w:rsid w:val="00D76AC7"/>
    <w:rsid w:val="00D76E06"/>
    <w:rsid w:val="00D76E4D"/>
    <w:rsid w:val="00D80862"/>
    <w:rsid w:val="00D80B85"/>
    <w:rsid w:val="00D80DB8"/>
    <w:rsid w:val="00D81782"/>
    <w:rsid w:val="00D82BF3"/>
    <w:rsid w:val="00D833AC"/>
    <w:rsid w:val="00D833F3"/>
    <w:rsid w:val="00D84DD6"/>
    <w:rsid w:val="00D853C8"/>
    <w:rsid w:val="00D861D7"/>
    <w:rsid w:val="00D86E05"/>
    <w:rsid w:val="00D86F97"/>
    <w:rsid w:val="00D9310B"/>
    <w:rsid w:val="00D931B5"/>
    <w:rsid w:val="00D9404D"/>
    <w:rsid w:val="00D97188"/>
    <w:rsid w:val="00D975AB"/>
    <w:rsid w:val="00D97921"/>
    <w:rsid w:val="00D97C8E"/>
    <w:rsid w:val="00D97FB8"/>
    <w:rsid w:val="00DA0FE8"/>
    <w:rsid w:val="00DA1137"/>
    <w:rsid w:val="00DA1772"/>
    <w:rsid w:val="00DA1C7C"/>
    <w:rsid w:val="00DA5013"/>
    <w:rsid w:val="00DA583C"/>
    <w:rsid w:val="00DB0397"/>
    <w:rsid w:val="00DB2F30"/>
    <w:rsid w:val="00DB3B5C"/>
    <w:rsid w:val="00DB3E68"/>
    <w:rsid w:val="00DB4727"/>
    <w:rsid w:val="00DB5260"/>
    <w:rsid w:val="00DB532F"/>
    <w:rsid w:val="00DB5C9E"/>
    <w:rsid w:val="00DC298B"/>
    <w:rsid w:val="00DC3C2B"/>
    <w:rsid w:val="00DC4543"/>
    <w:rsid w:val="00DC5430"/>
    <w:rsid w:val="00DC616C"/>
    <w:rsid w:val="00DC62A6"/>
    <w:rsid w:val="00DC62EF"/>
    <w:rsid w:val="00DC720E"/>
    <w:rsid w:val="00DC723F"/>
    <w:rsid w:val="00DD0746"/>
    <w:rsid w:val="00DD096C"/>
    <w:rsid w:val="00DD2E49"/>
    <w:rsid w:val="00DD57EF"/>
    <w:rsid w:val="00DD601B"/>
    <w:rsid w:val="00DD6BFA"/>
    <w:rsid w:val="00DE2559"/>
    <w:rsid w:val="00DE4858"/>
    <w:rsid w:val="00DE6646"/>
    <w:rsid w:val="00DE7206"/>
    <w:rsid w:val="00DE7519"/>
    <w:rsid w:val="00DE7DA9"/>
    <w:rsid w:val="00DE7ED5"/>
    <w:rsid w:val="00DF0BC3"/>
    <w:rsid w:val="00DF0CB9"/>
    <w:rsid w:val="00DF1C72"/>
    <w:rsid w:val="00DF209F"/>
    <w:rsid w:val="00DF21E1"/>
    <w:rsid w:val="00DF278E"/>
    <w:rsid w:val="00DF327A"/>
    <w:rsid w:val="00DF6D1F"/>
    <w:rsid w:val="00DF7976"/>
    <w:rsid w:val="00E006E1"/>
    <w:rsid w:val="00E017CE"/>
    <w:rsid w:val="00E01B43"/>
    <w:rsid w:val="00E0357A"/>
    <w:rsid w:val="00E039B6"/>
    <w:rsid w:val="00E03F92"/>
    <w:rsid w:val="00E04872"/>
    <w:rsid w:val="00E06088"/>
    <w:rsid w:val="00E06CDD"/>
    <w:rsid w:val="00E07BD1"/>
    <w:rsid w:val="00E10233"/>
    <w:rsid w:val="00E102FF"/>
    <w:rsid w:val="00E10CDC"/>
    <w:rsid w:val="00E11580"/>
    <w:rsid w:val="00E119C3"/>
    <w:rsid w:val="00E12DE8"/>
    <w:rsid w:val="00E12E9D"/>
    <w:rsid w:val="00E14FAD"/>
    <w:rsid w:val="00E15BB0"/>
    <w:rsid w:val="00E17EA7"/>
    <w:rsid w:val="00E20115"/>
    <w:rsid w:val="00E208F5"/>
    <w:rsid w:val="00E20C72"/>
    <w:rsid w:val="00E214D1"/>
    <w:rsid w:val="00E21620"/>
    <w:rsid w:val="00E217DB"/>
    <w:rsid w:val="00E221E9"/>
    <w:rsid w:val="00E229A2"/>
    <w:rsid w:val="00E22DE3"/>
    <w:rsid w:val="00E267A8"/>
    <w:rsid w:val="00E26C4D"/>
    <w:rsid w:val="00E27592"/>
    <w:rsid w:val="00E27A22"/>
    <w:rsid w:val="00E27C32"/>
    <w:rsid w:val="00E308FB"/>
    <w:rsid w:val="00E3120B"/>
    <w:rsid w:val="00E32D7F"/>
    <w:rsid w:val="00E337F5"/>
    <w:rsid w:val="00E344C0"/>
    <w:rsid w:val="00E34534"/>
    <w:rsid w:val="00E35102"/>
    <w:rsid w:val="00E3665E"/>
    <w:rsid w:val="00E37311"/>
    <w:rsid w:val="00E41722"/>
    <w:rsid w:val="00E428AB"/>
    <w:rsid w:val="00E42CD6"/>
    <w:rsid w:val="00E42F8B"/>
    <w:rsid w:val="00E44A02"/>
    <w:rsid w:val="00E4707A"/>
    <w:rsid w:val="00E47999"/>
    <w:rsid w:val="00E51A48"/>
    <w:rsid w:val="00E51D3B"/>
    <w:rsid w:val="00E537C3"/>
    <w:rsid w:val="00E53C0A"/>
    <w:rsid w:val="00E53E31"/>
    <w:rsid w:val="00E5474E"/>
    <w:rsid w:val="00E604F5"/>
    <w:rsid w:val="00E608AA"/>
    <w:rsid w:val="00E61C11"/>
    <w:rsid w:val="00E63281"/>
    <w:rsid w:val="00E64797"/>
    <w:rsid w:val="00E65009"/>
    <w:rsid w:val="00E65F56"/>
    <w:rsid w:val="00E67B9E"/>
    <w:rsid w:val="00E70147"/>
    <w:rsid w:val="00E710DD"/>
    <w:rsid w:val="00E71A23"/>
    <w:rsid w:val="00E721DC"/>
    <w:rsid w:val="00E724FA"/>
    <w:rsid w:val="00E7430A"/>
    <w:rsid w:val="00E74764"/>
    <w:rsid w:val="00E749F1"/>
    <w:rsid w:val="00E74CA5"/>
    <w:rsid w:val="00E74D40"/>
    <w:rsid w:val="00E756DE"/>
    <w:rsid w:val="00E75824"/>
    <w:rsid w:val="00E7616A"/>
    <w:rsid w:val="00E775D8"/>
    <w:rsid w:val="00E77DDE"/>
    <w:rsid w:val="00E80646"/>
    <w:rsid w:val="00E80855"/>
    <w:rsid w:val="00E80A58"/>
    <w:rsid w:val="00E80EC4"/>
    <w:rsid w:val="00E81C1C"/>
    <w:rsid w:val="00E83801"/>
    <w:rsid w:val="00E84B9E"/>
    <w:rsid w:val="00E86C30"/>
    <w:rsid w:val="00E8700F"/>
    <w:rsid w:val="00E8785D"/>
    <w:rsid w:val="00E913FE"/>
    <w:rsid w:val="00E914CC"/>
    <w:rsid w:val="00E934B7"/>
    <w:rsid w:val="00E949FC"/>
    <w:rsid w:val="00E95059"/>
    <w:rsid w:val="00E95634"/>
    <w:rsid w:val="00E96DD7"/>
    <w:rsid w:val="00E970C5"/>
    <w:rsid w:val="00EA0087"/>
    <w:rsid w:val="00EA02D9"/>
    <w:rsid w:val="00EA1220"/>
    <w:rsid w:val="00EA1457"/>
    <w:rsid w:val="00EA1B50"/>
    <w:rsid w:val="00EA1E4B"/>
    <w:rsid w:val="00EA1E87"/>
    <w:rsid w:val="00EA1F75"/>
    <w:rsid w:val="00EA4A58"/>
    <w:rsid w:val="00EA6207"/>
    <w:rsid w:val="00EB0D7B"/>
    <w:rsid w:val="00EB101A"/>
    <w:rsid w:val="00EB50CE"/>
    <w:rsid w:val="00EB6CC2"/>
    <w:rsid w:val="00EB70F7"/>
    <w:rsid w:val="00EB79FF"/>
    <w:rsid w:val="00EB7E0C"/>
    <w:rsid w:val="00EC42BF"/>
    <w:rsid w:val="00EC46FE"/>
    <w:rsid w:val="00EC4E7F"/>
    <w:rsid w:val="00EC5B0D"/>
    <w:rsid w:val="00EC5C06"/>
    <w:rsid w:val="00ED04F6"/>
    <w:rsid w:val="00ED10A5"/>
    <w:rsid w:val="00ED15A5"/>
    <w:rsid w:val="00ED1B16"/>
    <w:rsid w:val="00ED1FC7"/>
    <w:rsid w:val="00ED312D"/>
    <w:rsid w:val="00ED3771"/>
    <w:rsid w:val="00ED4B17"/>
    <w:rsid w:val="00ED753F"/>
    <w:rsid w:val="00EE11E1"/>
    <w:rsid w:val="00EE13FD"/>
    <w:rsid w:val="00EE28BD"/>
    <w:rsid w:val="00EE34C1"/>
    <w:rsid w:val="00EE3554"/>
    <w:rsid w:val="00EE4B79"/>
    <w:rsid w:val="00EE65D2"/>
    <w:rsid w:val="00EE7672"/>
    <w:rsid w:val="00EE7A88"/>
    <w:rsid w:val="00EF4293"/>
    <w:rsid w:val="00EF4981"/>
    <w:rsid w:val="00EF5B61"/>
    <w:rsid w:val="00EF5E9A"/>
    <w:rsid w:val="00F01D34"/>
    <w:rsid w:val="00F02A8B"/>
    <w:rsid w:val="00F02C2A"/>
    <w:rsid w:val="00F02D6D"/>
    <w:rsid w:val="00F031AD"/>
    <w:rsid w:val="00F04DC8"/>
    <w:rsid w:val="00F05C28"/>
    <w:rsid w:val="00F064B1"/>
    <w:rsid w:val="00F074A9"/>
    <w:rsid w:val="00F07A70"/>
    <w:rsid w:val="00F07BCD"/>
    <w:rsid w:val="00F1019C"/>
    <w:rsid w:val="00F10DE3"/>
    <w:rsid w:val="00F12587"/>
    <w:rsid w:val="00F15101"/>
    <w:rsid w:val="00F16DBD"/>
    <w:rsid w:val="00F2230C"/>
    <w:rsid w:val="00F2567D"/>
    <w:rsid w:val="00F25E91"/>
    <w:rsid w:val="00F266EA"/>
    <w:rsid w:val="00F268AC"/>
    <w:rsid w:val="00F30F2C"/>
    <w:rsid w:val="00F316FA"/>
    <w:rsid w:val="00F31A62"/>
    <w:rsid w:val="00F32379"/>
    <w:rsid w:val="00F33759"/>
    <w:rsid w:val="00F34668"/>
    <w:rsid w:val="00F3475B"/>
    <w:rsid w:val="00F353D4"/>
    <w:rsid w:val="00F36078"/>
    <w:rsid w:val="00F36BD6"/>
    <w:rsid w:val="00F37348"/>
    <w:rsid w:val="00F37545"/>
    <w:rsid w:val="00F40AE2"/>
    <w:rsid w:val="00F448B6"/>
    <w:rsid w:val="00F45535"/>
    <w:rsid w:val="00F45A07"/>
    <w:rsid w:val="00F46AE2"/>
    <w:rsid w:val="00F47EB0"/>
    <w:rsid w:val="00F47EF9"/>
    <w:rsid w:val="00F509D8"/>
    <w:rsid w:val="00F54842"/>
    <w:rsid w:val="00F55A9E"/>
    <w:rsid w:val="00F56713"/>
    <w:rsid w:val="00F5674B"/>
    <w:rsid w:val="00F56DEA"/>
    <w:rsid w:val="00F60B8C"/>
    <w:rsid w:val="00F62BA5"/>
    <w:rsid w:val="00F640D1"/>
    <w:rsid w:val="00F660E1"/>
    <w:rsid w:val="00F66CB1"/>
    <w:rsid w:val="00F67DD7"/>
    <w:rsid w:val="00F703C6"/>
    <w:rsid w:val="00F7054A"/>
    <w:rsid w:val="00F71315"/>
    <w:rsid w:val="00F72835"/>
    <w:rsid w:val="00F73E1B"/>
    <w:rsid w:val="00F743C4"/>
    <w:rsid w:val="00F75336"/>
    <w:rsid w:val="00F75699"/>
    <w:rsid w:val="00F7641E"/>
    <w:rsid w:val="00F76BA0"/>
    <w:rsid w:val="00F76DAE"/>
    <w:rsid w:val="00F77F0D"/>
    <w:rsid w:val="00F81B6E"/>
    <w:rsid w:val="00F825EF"/>
    <w:rsid w:val="00F8277D"/>
    <w:rsid w:val="00F828D3"/>
    <w:rsid w:val="00F82B78"/>
    <w:rsid w:val="00F85806"/>
    <w:rsid w:val="00F85A0B"/>
    <w:rsid w:val="00F946A3"/>
    <w:rsid w:val="00F94C42"/>
    <w:rsid w:val="00F9713F"/>
    <w:rsid w:val="00F97B47"/>
    <w:rsid w:val="00FA05FB"/>
    <w:rsid w:val="00FA0D1E"/>
    <w:rsid w:val="00FA146D"/>
    <w:rsid w:val="00FA1A47"/>
    <w:rsid w:val="00FA54CD"/>
    <w:rsid w:val="00FA6ADC"/>
    <w:rsid w:val="00FA78FB"/>
    <w:rsid w:val="00FB0088"/>
    <w:rsid w:val="00FB04C5"/>
    <w:rsid w:val="00FB2271"/>
    <w:rsid w:val="00FB23D8"/>
    <w:rsid w:val="00FB27B3"/>
    <w:rsid w:val="00FB365C"/>
    <w:rsid w:val="00FB40DE"/>
    <w:rsid w:val="00FB4F47"/>
    <w:rsid w:val="00FB5760"/>
    <w:rsid w:val="00FB5E00"/>
    <w:rsid w:val="00FB75D9"/>
    <w:rsid w:val="00FC035C"/>
    <w:rsid w:val="00FC0926"/>
    <w:rsid w:val="00FC1031"/>
    <w:rsid w:val="00FC12E5"/>
    <w:rsid w:val="00FC1CBB"/>
    <w:rsid w:val="00FC2025"/>
    <w:rsid w:val="00FC2AA3"/>
    <w:rsid w:val="00FC3C40"/>
    <w:rsid w:val="00FC3F85"/>
    <w:rsid w:val="00FC4FB2"/>
    <w:rsid w:val="00FC6FC5"/>
    <w:rsid w:val="00FC7498"/>
    <w:rsid w:val="00FC75A0"/>
    <w:rsid w:val="00FD022C"/>
    <w:rsid w:val="00FD1532"/>
    <w:rsid w:val="00FD2FDD"/>
    <w:rsid w:val="00FD41DA"/>
    <w:rsid w:val="00FD4338"/>
    <w:rsid w:val="00FD440C"/>
    <w:rsid w:val="00FD4A62"/>
    <w:rsid w:val="00FD5630"/>
    <w:rsid w:val="00FD5B49"/>
    <w:rsid w:val="00FD5BAE"/>
    <w:rsid w:val="00FD68A6"/>
    <w:rsid w:val="00FD6EB0"/>
    <w:rsid w:val="00FD7852"/>
    <w:rsid w:val="00FD7D13"/>
    <w:rsid w:val="00FE0266"/>
    <w:rsid w:val="00FE0D47"/>
    <w:rsid w:val="00FE277C"/>
    <w:rsid w:val="00FE2EFA"/>
    <w:rsid w:val="00FE3433"/>
    <w:rsid w:val="00FE4277"/>
    <w:rsid w:val="00FE693C"/>
    <w:rsid w:val="00FE6B0A"/>
    <w:rsid w:val="00FE73F9"/>
    <w:rsid w:val="00FE7DFE"/>
    <w:rsid w:val="00FF057A"/>
    <w:rsid w:val="00FF1BE5"/>
    <w:rsid w:val="00FF3E9B"/>
    <w:rsid w:val="00FF6A2C"/>
    <w:rsid w:val="00FF70E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EC841"/>
  <w15:docId w15:val="{40D2C83C-3965-4148-82C9-036E77F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L"/>
    <w:basedOn w:val="Normal"/>
    <w:link w:val="ListParagraphChar"/>
    <w:uiPriority w:val="34"/>
    <w:qFormat/>
    <w:rsid w:val="00456BEB"/>
    <w:pPr>
      <w:ind w:left="720"/>
      <w:contextualSpacing/>
    </w:pPr>
  </w:style>
  <w:style w:type="character" w:styleId="Hyperlink">
    <w:name w:val="Hyperlink"/>
    <w:basedOn w:val="DefaultParagraphFont"/>
    <w:uiPriority w:val="99"/>
    <w:unhideWhenUsed/>
    <w:rsid w:val="000A2E75"/>
    <w:rPr>
      <w:color w:val="0563C1" w:themeColor="hyperlink"/>
      <w:u w:val="single"/>
    </w:rPr>
  </w:style>
  <w:style w:type="character" w:styleId="HTMLCite">
    <w:name w:val="HTML Cite"/>
    <w:basedOn w:val="DefaultParagraphFont"/>
    <w:uiPriority w:val="99"/>
    <w:semiHidden/>
    <w:unhideWhenUsed/>
    <w:rsid w:val="003B57A8"/>
    <w:rPr>
      <w:i/>
      <w:iCs/>
    </w:rPr>
  </w:style>
  <w:style w:type="character" w:styleId="CommentReference">
    <w:name w:val="annotation reference"/>
    <w:basedOn w:val="DefaultParagraphFont"/>
    <w:uiPriority w:val="99"/>
    <w:semiHidden/>
    <w:unhideWhenUsed/>
    <w:rsid w:val="006625F9"/>
    <w:rPr>
      <w:sz w:val="16"/>
      <w:szCs w:val="16"/>
    </w:rPr>
  </w:style>
  <w:style w:type="paragraph" w:styleId="CommentText">
    <w:name w:val="annotation text"/>
    <w:basedOn w:val="Normal"/>
    <w:link w:val="CommentTextChar"/>
    <w:uiPriority w:val="99"/>
    <w:unhideWhenUsed/>
    <w:rsid w:val="006625F9"/>
    <w:pPr>
      <w:spacing w:line="240" w:lineRule="auto"/>
    </w:pPr>
    <w:rPr>
      <w:sz w:val="20"/>
      <w:szCs w:val="20"/>
    </w:rPr>
  </w:style>
  <w:style w:type="character" w:customStyle="1" w:styleId="CommentTextChar">
    <w:name w:val="Comment Text Char"/>
    <w:basedOn w:val="DefaultParagraphFont"/>
    <w:link w:val="CommentText"/>
    <w:uiPriority w:val="99"/>
    <w:rsid w:val="006625F9"/>
    <w:rPr>
      <w:sz w:val="20"/>
      <w:szCs w:val="20"/>
    </w:rPr>
  </w:style>
  <w:style w:type="paragraph" w:styleId="CommentSubject">
    <w:name w:val="annotation subject"/>
    <w:basedOn w:val="CommentText"/>
    <w:next w:val="CommentText"/>
    <w:link w:val="CommentSubjectChar"/>
    <w:uiPriority w:val="99"/>
    <w:semiHidden/>
    <w:unhideWhenUsed/>
    <w:rsid w:val="006625F9"/>
    <w:rPr>
      <w:b/>
      <w:bCs/>
    </w:rPr>
  </w:style>
  <w:style w:type="character" w:customStyle="1" w:styleId="CommentSubjectChar">
    <w:name w:val="Comment Subject Char"/>
    <w:basedOn w:val="CommentTextChar"/>
    <w:link w:val="CommentSubject"/>
    <w:uiPriority w:val="99"/>
    <w:semiHidden/>
    <w:rsid w:val="006625F9"/>
    <w:rPr>
      <w:b/>
      <w:bCs/>
      <w:sz w:val="20"/>
      <w:szCs w:val="20"/>
    </w:rPr>
  </w:style>
  <w:style w:type="paragraph" w:styleId="BalloonText">
    <w:name w:val="Balloon Text"/>
    <w:basedOn w:val="Normal"/>
    <w:link w:val="BalloonTextChar"/>
    <w:uiPriority w:val="99"/>
    <w:semiHidden/>
    <w:unhideWhenUsed/>
    <w:rsid w:val="00662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F9"/>
    <w:rPr>
      <w:rFonts w:ascii="Segoe UI" w:hAnsi="Segoe UI" w:cs="Segoe UI"/>
      <w:sz w:val="18"/>
      <w:szCs w:val="18"/>
    </w:rPr>
  </w:style>
  <w:style w:type="paragraph" w:styleId="Header">
    <w:name w:val="header"/>
    <w:basedOn w:val="Normal"/>
    <w:link w:val="HeaderChar"/>
    <w:uiPriority w:val="99"/>
    <w:unhideWhenUsed/>
    <w:rsid w:val="00ED0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F6"/>
  </w:style>
  <w:style w:type="paragraph" w:styleId="Footer">
    <w:name w:val="footer"/>
    <w:basedOn w:val="Normal"/>
    <w:link w:val="FooterChar"/>
    <w:uiPriority w:val="99"/>
    <w:unhideWhenUsed/>
    <w:rsid w:val="00ED0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F6"/>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basedOn w:val="DefaultParagraphFont"/>
    <w:link w:val="ListParagraph"/>
    <w:uiPriority w:val="34"/>
    <w:qFormat/>
    <w:locked/>
    <w:rsid w:val="00E96DD7"/>
  </w:style>
  <w:style w:type="paragraph" w:customStyle="1" w:styleId="Default">
    <w:name w:val="Default"/>
    <w:rsid w:val="003D694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43D97"/>
    <w:rPr>
      <w:color w:val="954F72" w:themeColor="followedHyperlink"/>
      <w:u w:val="single"/>
    </w:rPr>
  </w:style>
  <w:style w:type="paragraph" w:customStyle="1" w:styleId="subsection">
    <w:name w:val="subsection"/>
    <w:basedOn w:val="Normal"/>
    <w:rsid w:val="00BA483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ectionlabel">
    <w:name w:val="sectionlabel"/>
    <w:basedOn w:val="DefaultParagraphFont"/>
    <w:rsid w:val="00BA4838"/>
  </w:style>
  <w:style w:type="character" w:customStyle="1" w:styleId="lawlabel">
    <w:name w:val="lawlabel"/>
    <w:basedOn w:val="DefaultParagraphFont"/>
    <w:rsid w:val="00BA4838"/>
  </w:style>
  <w:style w:type="character" w:customStyle="1" w:styleId="wb-invisible">
    <w:name w:val="wb-invisible"/>
    <w:basedOn w:val="DefaultParagraphFont"/>
    <w:rsid w:val="00BB7FD4"/>
  </w:style>
  <w:style w:type="paragraph" w:customStyle="1" w:styleId="paragraph">
    <w:name w:val="paragraph"/>
    <w:basedOn w:val="Normal"/>
    <w:rsid w:val="00BB7FD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otherlang">
    <w:name w:val="otherlang"/>
    <w:basedOn w:val="DefaultParagraphFont"/>
    <w:rsid w:val="00BB7FD4"/>
  </w:style>
  <w:style w:type="paragraph" w:customStyle="1" w:styleId="section">
    <w:name w:val="section"/>
    <w:basedOn w:val="Normal"/>
    <w:rsid w:val="00A9581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ootnote">
    <w:name w:val="footnote"/>
    <w:basedOn w:val="Normal"/>
    <w:rsid w:val="00A9581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marginalnote">
    <w:name w:val="marginalnote"/>
    <w:basedOn w:val="Normal"/>
    <w:rsid w:val="0022260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ubparagraph">
    <w:name w:val="subparagraph"/>
    <w:basedOn w:val="Normal"/>
    <w:rsid w:val="0022260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definition">
    <w:name w:val="definition"/>
    <w:basedOn w:val="Normal"/>
    <w:rsid w:val="00E27C3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UnresolvedMention1">
    <w:name w:val="Unresolved Mention1"/>
    <w:basedOn w:val="DefaultParagraphFont"/>
    <w:uiPriority w:val="99"/>
    <w:semiHidden/>
    <w:unhideWhenUsed/>
    <w:rsid w:val="00F45535"/>
    <w:rPr>
      <w:color w:val="605E5C"/>
      <w:shd w:val="clear" w:color="auto" w:fill="E1DFDD"/>
    </w:rPr>
  </w:style>
  <w:style w:type="paragraph" w:styleId="Revision">
    <w:name w:val="Revision"/>
    <w:hidden/>
    <w:uiPriority w:val="99"/>
    <w:semiHidden/>
    <w:rsid w:val="00EB79FF"/>
    <w:pPr>
      <w:spacing w:after="0" w:line="240" w:lineRule="auto"/>
    </w:pPr>
  </w:style>
  <w:style w:type="character" w:customStyle="1" w:styleId="UnresolvedMention2">
    <w:name w:val="Unresolved Mention2"/>
    <w:basedOn w:val="DefaultParagraphFont"/>
    <w:uiPriority w:val="99"/>
    <w:semiHidden/>
    <w:unhideWhenUsed/>
    <w:rsid w:val="007456D2"/>
    <w:rPr>
      <w:color w:val="605E5C"/>
      <w:shd w:val="clear" w:color="auto" w:fill="E1DFDD"/>
    </w:rPr>
  </w:style>
  <w:style w:type="character" w:styleId="HTMLDefinition">
    <w:name w:val="HTML Definition"/>
    <w:basedOn w:val="DefaultParagraphFont"/>
    <w:uiPriority w:val="99"/>
    <w:semiHidden/>
    <w:unhideWhenUsed/>
    <w:rsid w:val="008C0453"/>
    <w:rPr>
      <w:i/>
      <w:iCs/>
    </w:rPr>
  </w:style>
  <w:style w:type="character" w:styleId="Emphasis">
    <w:name w:val="Emphasis"/>
    <w:basedOn w:val="DefaultParagraphFont"/>
    <w:uiPriority w:val="20"/>
    <w:qFormat/>
    <w:rsid w:val="00E8785D"/>
    <w:rPr>
      <w:i/>
      <w:iCs/>
    </w:rPr>
  </w:style>
  <w:style w:type="paragraph" w:styleId="HTMLPreformatted">
    <w:name w:val="HTML Preformatted"/>
    <w:basedOn w:val="Normal"/>
    <w:link w:val="HTMLPreformattedChar"/>
    <w:uiPriority w:val="99"/>
    <w:unhideWhenUsed/>
    <w:rsid w:val="0033596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35962"/>
    <w:rPr>
      <w:rFonts w:ascii="Consolas" w:hAnsi="Consolas"/>
      <w:sz w:val="20"/>
      <w:szCs w:val="20"/>
    </w:rPr>
  </w:style>
  <w:style w:type="table" w:customStyle="1" w:styleId="TableGrid1">
    <w:name w:val="Table Grid1"/>
    <w:basedOn w:val="TableNormal"/>
    <w:next w:val="TableGrid"/>
    <w:uiPriority w:val="39"/>
    <w:rsid w:val="0055583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2658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D17E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D17E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754A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A32B3"/>
    <w:rPr>
      <w:rFonts w:ascii="UniversLTStd-Black" w:hAnsi="UniversLTStd-Black" w:hint="default"/>
      <w:b/>
      <w:bCs/>
      <w:i w:val="0"/>
      <w:iCs w:val="0"/>
      <w:color w:val="000000"/>
      <w:sz w:val="18"/>
      <w:szCs w:val="18"/>
    </w:rPr>
  </w:style>
  <w:style w:type="character" w:customStyle="1" w:styleId="fontstyle21">
    <w:name w:val="fontstyle21"/>
    <w:basedOn w:val="DefaultParagraphFont"/>
    <w:rsid w:val="00CA32B3"/>
    <w:rPr>
      <w:rFonts w:ascii="Georgia" w:hAnsi="Georgia" w:hint="default"/>
      <w:b w:val="0"/>
      <w:bCs w:val="0"/>
      <w:i w:val="0"/>
      <w:iCs w:val="0"/>
      <w:color w:val="000000"/>
      <w:sz w:val="20"/>
      <w:szCs w:val="20"/>
    </w:rPr>
  </w:style>
  <w:style w:type="character" w:customStyle="1" w:styleId="fontstyle31">
    <w:name w:val="fontstyle31"/>
    <w:basedOn w:val="DefaultParagraphFont"/>
    <w:rsid w:val="00CA32B3"/>
    <w:rPr>
      <w:rFonts w:ascii="UniversLTStd-Obl" w:hAnsi="UniversLTStd-Obl" w:hint="default"/>
      <w:b w:val="0"/>
      <w:bCs w:val="0"/>
      <w:i/>
      <w:iCs/>
      <w:color w:val="000000"/>
      <w:sz w:val="20"/>
      <w:szCs w:val="20"/>
    </w:rPr>
  </w:style>
  <w:style w:type="character" w:customStyle="1" w:styleId="fontstyle41">
    <w:name w:val="fontstyle41"/>
    <w:basedOn w:val="DefaultParagraphFont"/>
    <w:rsid w:val="004E7F3B"/>
    <w:rPr>
      <w:rFonts w:ascii="UniversLTStd-Obl" w:hAnsi="UniversLTStd-Obl" w:hint="default"/>
      <w:b w:val="0"/>
      <w:bCs w:val="0"/>
      <w:i/>
      <w:iCs/>
      <w:color w:val="000000"/>
      <w:sz w:val="20"/>
      <w:szCs w:val="20"/>
    </w:rPr>
  </w:style>
  <w:style w:type="character" w:customStyle="1" w:styleId="fontstyle51">
    <w:name w:val="fontstyle51"/>
    <w:basedOn w:val="DefaultParagraphFont"/>
    <w:rsid w:val="00717252"/>
    <w:rPr>
      <w:rFonts w:ascii="TimesNewRomanPSMT" w:hAnsi="TimesNewRomanPSMT" w:hint="default"/>
      <w:b w:val="0"/>
      <w:bCs w:val="0"/>
      <w:i w:val="0"/>
      <w:iCs w:val="0"/>
      <w:color w:val="000000"/>
      <w:sz w:val="20"/>
      <w:szCs w:val="20"/>
    </w:rPr>
  </w:style>
  <w:style w:type="paragraph" w:styleId="NoSpacing">
    <w:name w:val="No Spacing"/>
    <w:uiPriority w:val="1"/>
    <w:qFormat/>
    <w:rsid w:val="00E006E1"/>
    <w:pPr>
      <w:spacing w:after="0" w:line="240" w:lineRule="auto"/>
    </w:pPr>
  </w:style>
  <w:style w:type="character" w:customStyle="1" w:styleId="cf01">
    <w:name w:val="cf01"/>
    <w:basedOn w:val="DefaultParagraphFont"/>
    <w:rsid w:val="00E428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99937">
      <w:bodyDiv w:val="1"/>
      <w:marLeft w:val="0"/>
      <w:marRight w:val="0"/>
      <w:marTop w:val="0"/>
      <w:marBottom w:val="0"/>
      <w:divBdr>
        <w:top w:val="none" w:sz="0" w:space="0" w:color="auto"/>
        <w:left w:val="none" w:sz="0" w:space="0" w:color="auto"/>
        <w:bottom w:val="none" w:sz="0" w:space="0" w:color="auto"/>
        <w:right w:val="none" w:sz="0" w:space="0" w:color="auto"/>
      </w:divBdr>
    </w:div>
    <w:div w:id="167251387">
      <w:bodyDiv w:val="1"/>
      <w:marLeft w:val="0"/>
      <w:marRight w:val="0"/>
      <w:marTop w:val="0"/>
      <w:marBottom w:val="0"/>
      <w:divBdr>
        <w:top w:val="none" w:sz="0" w:space="0" w:color="auto"/>
        <w:left w:val="none" w:sz="0" w:space="0" w:color="auto"/>
        <w:bottom w:val="none" w:sz="0" w:space="0" w:color="auto"/>
        <w:right w:val="none" w:sz="0" w:space="0" w:color="auto"/>
      </w:divBdr>
    </w:div>
    <w:div w:id="173225246">
      <w:bodyDiv w:val="1"/>
      <w:marLeft w:val="0"/>
      <w:marRight w:val="0"/>
      <w:marTop w:val="0"/>
      <w:marBottom w:val="0"/>
      <w:divBdr>
        <w:top w:val="none" w:sz="0" w:space="0" w:color="auto"/>
        <w:left w:val="none" w:sz="0" w:space="0" w:color="auto"/>
        <w:bottom w:val="none" w:sz="0" w:space="0" w:color="auto"/>
        <w:right w:val="none" w:sz="0" w:space="0" w:color="auto"/>
      </w:divBdr>
    </w:div>
    <w:div w:id="253324680">
      <w:bodyDiv w:val="1"/>
      <w:marLeft w:val="0"/>
      <w:marRight w:val="0"/>
      <w:marTop w:val="0"/>
      <w:marBottom w:val="0"/>
      <w:divBdr>
        <w:top w:val="none" w:sz="0" w:space="0" w:color="auto"/>
        <w:left w:val="none" w:sz="0" w:space="0" w:color="auto"/>
        <w:bottom w:val="none" w:sz="0" w:space="0" w:color="auto"/>
        <w:right w:val="none" w:sz="0" w:space="0" w:color="auto"/>
      </w:divBdr>
    </w:div>
    <w:div w:id="417992833">
      <w:bodyDiv w:val="1"/>
      <w:marLeft w:val="0"/>
      <w:marRight w:val="0"/>
      <w:marTop w:val="0"/>
      <w:marBottom w:val="0"/>
      <w:divBdr>
        <w:top w:val="none" w:sz="0" w:space="0" w:color="auto"/>
        <w:left w:val="none" w:sz="0" w:space="0" w:color="auto"/>
        <w:bottom w:val="none" w:sz="0" w:space="0" w:color="auto"/>
        <w:right w:val="none" w:sz="0" w:space="0" w:color="auto"/>
      </w:divBdr>
    </w:div>
    <w:div w:id="441345167">
      <w:bodyDiv w:val="1"/>
      <w:marLeft w:val="0"/>
      <w:marRight w:val="0"/>
      <w:marTop w:val="0"/>
      <w:marBottom w:val="0"/>
      <w:divBdr>
        <w:top w:val="none" w:sz="0" w:space="0" w:color="auto"/>
        <w:left w:val="none" w:sz="0" w:space="0" w:color="auto"/>
        <w:bottom w:val="none" w:sz="0" w:space="0" w:color="auto"/>
        <w:right w:val="none" w:sz="0" w:space="0" w:color="auto"/>
      </w:divBdr>
    </w:div>
    <w:div w:id="495731322">
      <w:bodyDiv w:val="1"/>
      <w:marLeft w:val="0"/>
      <w:marRight w:val="0"/>
      <w:marTop w:val="0"/>
      <w:marBottom w:val="0"/>
      <w:divBdr>
        <w:top w:val="none" w:sz="0" w:space="0" w:color="auto"/>
        <w:left w:val="none" w:sz="0" w:space="0" w:color="auto"/>
        <w:bottom w:val="none" w:sz="0" w:space="0" w:color="auto"/>
        <w:right w:val="none" w:sz="0" w:space="0" w:color="auto"/>
      </w:divBdr>
    </w:div>
    <w:div w:id="610741032">
      <w:bodyDiv w:val="1"/>
      <w:marLeft w:val="0"/>
      <w:marRight w:val="0"/>
      <w:marTop w:val="0"/>
      <w:marBottom w:val="0"/>
      <w:divBdr>
        <w:top w:val="none" w:sz="0" w:space="0" w:color="auto"/>
        <w:left w:val="none" w:sz="0" w:space="0" w:color="auto"/>
        <w:bottom w:val="none" w:sz="0" w:space="0" w:color="auto"/>
        <w:right w:val="none" w:sz="0" w:space="0" w:color="auto"/>
      </w:divBdr>
    </w:div>
    <w:div w:id="623274067">
      <w:bodyDiv w:val="1"/>
      <w:marLeft w:val="0"/>
      <w:marRight w:val="0"/>
      <w:marTop w:val="0"/>
      <w:marBottom w:val="0"/>
      <w:divBdr>
        <w:top w:val="none" w:sz="0" w:space="0" w:color="auto"/>
        <w:left w:val="none" w:sz="0" w:space="0" w:color="auto"/>
        <w:bottom w:val="none" w:sz="0" w:space="0" w:color="auto"/>
        <w:right w:val="none" w:sz="0" w:space="0" w:color="auto"/>
      </w:divBdr>
    </w:div>
    <w:div w:id="652488399">
      <w:bodyDiv w:val="1"/>
      <w:marLeft w:val="0"/>
      <w:marRight w:val="0"/>
      <w:marTop w:val="0"/>
      <w:marBottom w:val="0"/>
      <w:divBdr>
        <w:top w:val="none" w:sz="0" w:space="0" w:color="auto"/>
        <w:left w:val="none" w:sz="0" w:space="0" w:color="auto"/>
        <w:bottom w:val="none" w:sz="0" w:space="0" w:color="auto"/>
        <w:right w:val="none" w:sz="0" w:space="0" w:color="auto"/>
      </w:divBdr>
    </w:div>
    <w:div w:id="658506060">
      <w:bodyDiv w:val="1"/>
      <w:marLeft w:val="0"/>
      <w:marRight w:val="0"/>
      <w:marTop w:val="0"/>
      <w:marBottom w:val="0"/>
      <w:divBdr>
        <w:top w:val="none" w:sz="0" w:space="0" w:color="auto"/>
        <w:left w:val="none" w:sz="0" w:space="0" w:color="auto"/>
        <w:bottom w:val="none" w:sz="0" w:space="0" w:color="auto"/>
        <w:right w:val="none" w:sz="0" w:space="0" w:color="auto"/>
      </w:divBdr>
    </w:div>
    <w:div w:id="759252529">
      <w:bodyDiv w:val="1"/>
      <w:marLeft w:val="0"/>
      <w:marRight w:val="0"/>
      <w:marTop w:val="0"/>
      <w:marBottom w:val="0"/>
      <w:divBdr>
        <w:top w:val="none" w:sz="0" w:space="0" w:color="auto"/>
        <w:left w:val="none" w:sz="0" w:space="0" w:color="auto"/>
        <w:bottom w:val="none" w:sz="0" w:space="0" w:color="auto"/>
        <w:right w:val="none" w:sz="0" w:space="0" w:color="auto"/>
      </w:divBdr>
    </w:div>
    <w:div w:id="869030876">
      <w:bodyDiv w:val="1"/>
      <w:marLeft w:val="0"/>
      <w:marRight w:val="0"/>
      <w:marTop w:val="0"/>
      <w:marBottom w:val="0"/>
      <w:divBdr>
        <w:top w:val="none" w:sz="0" w:space="0" w:color="auto"/>
        <w:left w:val="none" w:sz="0" w:space="0" w:color="auto"/>
        <w:bottom w:val="none" w:sz="0" w:space="0" w:color="auto"/>
        <w:right w:val="none" w:sz="0" w:space="0" w:color="auto"/>
      </w:divBdr>
    </w:div>
    <w:div w:id="875042061">
      <w:bodyDiv w:val="1"/>
      <w:marLeft w:val="0"/>
      <w:marRight w:val="0"/>
      <w:marTop w:val="0"/>
      <w:marBottom w:val="0"/>
      <w:divBdr>
        <w:top w:val="none" w:sz="0" w:space="0" w:color="auto"/>
        <w:left w:val="none" w:sz="0" w:space="0" w:color="auto"/>
        <w:bottom w:val="none" w:sz="0" w:space="0" w:color="auto"/>
        <w:right w:val="none" w:sz="0" w:space="0" w:color="auto"/>
      </w:divBdr>
    </w:div>
    <w:div w:id="938564163">
      <w:bodyDiv w:val="1"/>
      <w:marLeft w:val="0"/>
      <w:marRight w:val="0"/>
      <w:marTop w:val="0"/>
      <w:marBottom w:val="0"/>
      <w:divBdr>
        <w:top w:val="none" w:sz="0" w:space="0" w:color="auto"/>
        <w:left w:val="none" w:sz="0" w:space="0" w:color="auto"/>
        <w:bottom w:val="none" w:sz="0" w:space="0" w:color="auto"/>
        <w:right w:val="none" w:sz="0" w:space="0" w:color="auto"/>
      </w:divBdr>
    </w:div>
    <w:div w:id="1023821827">
      <w:bodyDiv w:val="1"/>
      <w:marLeft w:val="0"/>
      <w:marRight w:val="0"/>
      <w:marTop w:val="0"/>
      <w:marBottom w:val="0"/>
      <w:divBdr>
        <w:top w:val="none" w:sz="0" w:space="0" w:color="auto"/>
        <w:left w:val="none" w:sz="0" w:space="0" w:color="auto"/>
        <w:bottom w:val="none" w:sz="0" w:space="0" w:color="auto"/>
        <w:right w:val="none" w:sz="0" w:space="0" w:color="auto"/>
      </w:divBdr>
    </w:div>
    <w:div w:id="1063605139">
      <w:bodyDiv w:val="1"/>
      <w:marLeft w:val="0"/>
      <w:marRight w:val="0"/>
      <w:marTop w:val="0"/>
      <w:marBottom w:val="0"/>
      <w:divBdr>
        <w:top w:val="none" w:sz="0" w:space="0" w:color="auto"/>
        <w:left w:val="none" w:sz="0" w:space="0" w:color="auto"/>
        <w:bottom w:val="none" w:sz="0" w:space="0" w:color="auto"/>
        <w:right w:val="none" w:sz="0" w:space="0" w:color="auto"/>
      </w:divBdr>
    </w:div>
    <w:div w:id="1095978922">
      <w:bodyDiv w:val="1"/>
      <w:marLeft w:val="0"/>
      <w:marRight w:val="0"/>
      <w:marTop w:val="0"/>
      <w:marBottom w:val="0"/>
      <w:divBdr>
        <w:top w:val="none" w:sz="0" w:space="0" w:color="auto"/>
        <w:left w:val="none" w:sz="0" w:space="0" w:color="auto"/>
        <w:bottom w:val="none" w:sz="0" w:space="0" w:color="auto"/>
        <w:right w:val="none" w:sz="0" w:space="0" w:color="auto"/>
      </w:divBdr>
    </w:div>
    <w:div w:id="1161238009">
      <w:bodyDiv w:val="1"/>
      <w:marLeft w:val="0"/>
      <w:marRight w:val="0"/>
      <w:marTop w:val="0"/>
      <w:marBottom w:val="0"/>
      <w:divBdr>
        <w:top w:val="none" w:sz="0" w:space="0" w:color="auto"/>
        <w:left w:val="none" w:sz="0" w:space="0" w:color="auto"/>
        <w:bottom w:val="none" w:sz="0" w:space="0" w:color="auto"/>
        <w:right w:val="none" w:sz="0" w:space="0" w:color="auto"/>
      </w:divBdr>
    </w:div>
    <w:div w:id="1182473867">
      <w:bodyDiv w:val="1"/>
      <w:marLeft w:val="0"/>
      <w:marRight w:val="0"/>
      <w:marTop w:val="0"/>
      <w:marBottom w:val="0"/>
      <w:divBdr>
        <w:top w:val="none" w:sz="0" w:space="0" w:color="auto"/>
        <w:left w:val="none" w:sz="0" w:space="0" w:color="auto"/>
        <w:bottom w:val="none" w:sz="0" w:space="0" w:color="auto"/>
        <w:right w:val="none" w:sz="0" w:space="0" w:color="auto"/>
      </w:divBdr>
    </w:div>
    <w:div w:id="1215315822">
      <w:bodyDiv w:val="1"/>
      <w:marLeft w:val="0"/>
      <w:marRight w:val="0"/>
      <w:marTop w:val="0"/>
      <w:marBottom w:val="0"/>
      <w:divBdr>
        <w:top w:val="none" w:sz="0" w:space="0" w:color="auto"/>
        <w:left w:val="none" w:sz="0" w:space="0" w:color="auto"/>
        <w:bottom w:val="none" w:sz="0" w:space="0" w:color="auto"/>
        <w:right w:val="none" w:sz="0" w:space="0" w:color="auto"/>
      </w:divBdr>
    </w:div>
    <w:div w:id="1246259942">
      <w:bodyDiv w:val="1"/>
      <w:marLeft w:val="0"/>
      <w:marRight w:val="0"/>
      <w:marTop w:val="0"/>
      <w:marBottom w:val="0"/>
      <w:divBdr>
        <w:top w:val="none" w:sz="0" w:space="0" w:color="auto"/>
        <w:left w:val="none" w:sz="0" w:space="0" w:color="auto"/>
        <w:bottom w:val="none" w:sz="0" w:space="0" w:color="auto"/>
        <w:right w:val="none" w:sz="0" w:space="0" w:color="auto"/>
      </w:divBdr>
    </w:div>
    <w:div w:id="1400716233">
      <w:bodyDiv w:val="1"/>
      <w:marLeft w:val="0"/>
      <w:marRight w:val="0"/>
      <w:marTop w:val="0"/>
      <w:marBottom w:val="0"/>
      <w:divBdr>
        <w:top w:val="none" w:sz="0" w:space="0" w:color="auto"/>
        <w:left w:val="none" w:sz="0" w:space="0" w:color="auto"/>
        <w:bottom w:val="none" w:sz="0" w:space="0" w:color="auto"/>
        <w:right w:val="none" w:sz="0" w:space="0" w:color="auto"/>
      </w:divBdr>
    </w:div>
    <w:div w:id="1446542398">
      <w:bodyDiv w:val="1"/>
      <w:marLeft w:val="0"/>
      <w:marRight w:val="0"/>
      <w:marTop w:val="0"/>
      <w:marBottom w:val="0"/>
      <w:divBdr>
        <w:top w:val="none" w:sz="0" w:space="0" w:color="auto"/>
        <w:left w:val="none" w:sz="0" w:space="0" w:color="auto"/>
        <w:bottom w:val="none" w:sz="0" w:space="0" w:color="auto"/>
        <w:right w:val="none" w:sz="0" w:space="0" w:color="auto"/>
      </w:divBdr>
    </w:div>
    <w:div w:id="1446581912">
      <w:bodyDiv w:val="1"/>
      <w:marLeft w:val="0"/>
      <w:marRight w:val="0"/>
      <w:marTop w:val="0"/>
      <w:marBottom w:val="0"/>
      <w:divBdr>
        <w:top w:val="none" w:sz="0" w:space="0" w:color="auto"/>
        <w:left w:val="none" w:sz="0" w:space="0" w:color="auto"/>
        <w:bottom w:val="none" w:sz="0" w:space="0" w:color="auto"/>
        <w:right w:val="none" w:sz="0" w:space="0" w:color="auto"/>
      </w:divBdr>
    </w:div>
    <w:div w:id="1456867895">
      <w:bodyDiv w:val="1"/>
      <w:marLeft w:val="0"/>
      <w:marRight w:val="0"/>
      <w:marTop w:val="0"/>
      <w:marBottom w:val="0"/>
      <w:divBdr>
        <w:top w:val="none" w:sz="0" w:space="0" w:color="auto"/>
        <w:left w:val="none" w:sz="0" w:space="0" w:color="auto"/>
        <w:bottom w:val="none" w:sz="0" w:space="0" w:color="auto"/>
        <w:right w:val="none" w:sz="0" w:space="0" w:color="auto"/>
      </w:divBdr>
    </w:div>
    <w:div w:id="1470441321">
      <w:bodyDiv w:val="1"/>
      <w:marLeft w:val="0"/>
      <w:marRight w:val="0"/>
      <w:marTop w:val="0"/>
      <w:marBottom w:val="0"/>
      <w:divBdr>
        <w:top w:val="none" w:sz="0" w:space="0" w:color="auto"/>
        <w:left w:val="none" w:sz="0" w:space="0" w:color="auto"/>
        <w:bottom w:val="none" w:sz="0" w:space="0" w:color="auto"/>
        <w:right w:val="none" w:sz="0" w:space="0" w:color="auto"/>
      </w:divBdr>
    </w:div>
    <w:div w:id="1600602819">
      <w:bodyDiv w:val="1"/>
      <w:marLeft w:val="0"/>
      <w:marRight w:val="0"/>
      <w:marTop w:val="0"/>
      <w:marBottom w:val="0"/>
      <w:divBdr>
        <w:top w:val="none" w:sz="0" w:space="0" w:color="auto"/>
        <w:left w:val="none" w:sz="0" w:space="0" w:color="auto"/>
        <w:bottom w:val="none" w:sz="0" w:space="0" w:color="auto"/>
        <w:right w:val="none" w:sz="0" w:space="0" w:color="auto"/>
      </w:divBdr>
    </w:div>
    <w:div w:id="2056078373">
      <w:bodyDiv w:val="1"/>
      <w:marLeft w:val="0"/>
      <w:marRight w:val="0"/>
      <w:marTop w:val="0"/>
      <w:marBottom w:val="0"/>
      <w:divBdr>
        <w:top w:val="none" w:sz="0" w:space="0" w:color="auto"/>
        <w:left w:val="none" w:sz="0" w:space="0" w:color="auto"/>
        <w:bottom w:val="none" w:sz="0" w:space="0" w:color="auto"/>
        <w:right w:val="none" w:sz="0" w:space="0" w:color="auto"/>
      </w:divBdr>
    </w:div>
    <w:div w:id="2101370000">
      <w:bodyDiv w:val="1"/>
      <w:marLeft w:val="0"/>
      <w:marRight w:val="0"/>
      <w:marTop w:val="0"/>
      <w:marBottom w:val="0"/>
      <w:divBdr>
        <w:top w:val="none" w:sz="0" w:space="0" w:color="auto"/>
        <w:left w:val="none" w:sz="0" w:space="0" w:color="auto"/>
        <w:bottom w:val="none" w:sz="0" w:space="0" w:color="auto"/>
        <w:right w:val="none" w:sz="0" w:space="0" w:color="auto"/>
      </w:divBdr>
    </w:div>
    <w:div w:id="2103452135">
      <w:bodyDiv w:val="1"/>
      <w:marLeft w:val="0"/>
      <w:marRight w:val="0"/>
      <w:marTop w:val="0"/>
      <w:marBottom w:val="0"/>
      <w:divBdr>
        <w:top w:val="none" w:sz="0" w:space="0" w:color="auto"/>
        <w:left w:val="none" w:sz="0" w:space="0" w:color="auto"/>
        <w:bottom w:val="none" w:sz="0" w:space="0" w:color="auto"/>
        <w:right w:val="none" w:sz="0" w:space="0" w:color="auto"/>
      </w:divBdr>
      <w:divsChild>
        <w:div w:id="1453861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F622D-D898-40E3-BC49-34B5CE37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122</Pages>
  <Words>28380</Words>
  <Characters>161771</Characters>
  <Application>Microsoft Office Word</Application>
  <DocSecurity>0</DocSecurity>
  <Lines>1348</Lines>
  <Paragraphs>379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NRCan  /  RNCan</Company>
  <LinksUpToDate>false</LinksUpToDate>
  <CharactersWithSpaces>189772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Lyons, Katherine</dc:creator>
  <cp:lastModifiedBy>Lyons, Katherine</cp:lastModifiedBy>
  <cp:revision>3</cp:revision>
  <dcterms:created xsi:type="dcterms:W3CDTF">2023-05-11T12:55:00Z</dcterms:created>
  <dcterms:modified xsi:type="dcterms:W3CDTF">2023-05-11T13:04:00Z</dcterms:modified>
</cp:coreProperties>
</file>