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2135" w14:textId="7D47FCED" w:rsidR="00D27041" w:rsidRDefault="00E96DD7" w:rsidP="0047606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823F5">
        <w:rPr>
          <w:rFonts w:ascii="Arial" w:hAnsi="Arial" w:cs="Arial"/>
          <w:b/>
          <w:sz w:val="28"/>
          <w:szCs w:val="28"/>
        </w:rPr>
        <w:t>Consultation Document</w:t>
      </w:r>
      <w:r w:rsidR="00D335B4" w:rsidRPr="003823F5">
        <w:rPr>
          <w:rFonts w:ascii="Arial" w:hAnsi="Arial" w:cs="Arial"/>
          <w:b/>
          <w:sz w:val="28"/>
          <w:szCs w:val="28"/>
        </w:rPr>
        <w:t xml:space="preserve"> for Proposed Amendments to the </w:t>
      </w:r>
      <w:r w:rsidR="00D335B4" w:rsidRPr="003823F5">
        <w:rPr>
          <w:rFonts w:ascii="Arial" w:hAnsi="Arial" w:cs="Arial"/>
          <w:b/>
          <w:i/>
          <w:sz w:val="28"/>
          <w:szCs w:val="28"/>
        </w:rPr>
        <w:t xml:space="preserve">Explosives Regulations, 2013 </w:t>
      </w:r>
    </w:p>
    <w:p w14:paraId="27AFC1FA" w14:textId="77777777" w:rsidR="000B347E" w:rsidRDefault="000B347E" w:rsidP="0047606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598D0ED2" w14:textId="77777777" w:rsidR="000B347E" w:rsidRPr="0047606C" w:rsidRDefault="000B347E" w:rsidP="0047606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3673"/>
        <w:gridCol w:w="3543"/>
        <w:gridCol w:w="3828"/>
        <w:gridCol w:w="3827"/>
      </w:tblGrid>
      <w:tr w:rsidR="00AC2390" w:rsidRPr="003823F5" w14:paraId="38EC479A" w14:textId="77777777" w:rsidTr="000B347E">
        <w:trPr>
          <w:tblHeader/>
        </w:trPr>
        <w:tc>
          <w:tcPr>
            <w:tcW w:w="16155" w:type="dxa"/>
            <w:gridSpan w:val="5"/>
            <w:shd w:val="clear" w:color="auto" w:fill="D9D9D9" w:themeFill="background1" w:themeFillShade="D9"/>
          </w:tcPr>
          <w:p w14:paraId="4A26432F" w14:textId="644DD3F8" w:rsidR="00AC2390" w:rsidRPr="00927E38" w:rsidRDefault="00927E38" w:rsidP="001E72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E38">
              <w:rPr>
                <w:rFonts w:ascii="Arial" w:hAnsi="Arial" w:cs="Arial"/>
                <w:b/>
                <w:bCs/>
                <w:sz w:val="24"/>
                <w:szCs w:val="24"/>
              </w:rPr>
              <w:t>Proposed Changes</w:t>
            </w:r>
            <w:r w:rsidR="004760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before Canada Gazette II</w:t>
            </w:r>
          </w:p>
        </w:tc>
      </w:tr>
      <w:tr w:rsidR="00D27041" w:rsidRPr="003823F5" w14:paraId="53C69AD5" w14:textId="49D5163F" w:rsidTr="000B347E">
        <w:trPr>
          <w:tblHeader/>
        </w:trPr>
        <w:tc>
          <w:tcPr>
            <w:tcW w:w="1284" w:type="dxa"/>
            <w:shd w:val="clear" w:color="auto" w:fill="BFBFBF" w:themeFill="background1" w:themeFillShade="BF"/>
          </w:tcPr>
          <w:p w14:paraId="7F0E3013" w14:textId="77777777" w:rsidR="00D27041" w:rsidRPr="003823F5" w:rsidRDefault="00D27041" w:rsidP="00D335B4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23F5">
              <w:rPr>
                <w:rFonts w:ascii="Arial" w:hAnsi="Arial" w:cs="Arial"/>
                <w:b/>
                <w:sz w:val="26"/>
                <w:szCs w:val="26"/>
              </w:rPr>
              <w:t>#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5E574EF3" w14:textId="71F48989" w:rsidR="00D27041" w:rsidRPr="003823F5" w:rsidRDefault="00F83C4A" w:rsidP="00D335B4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Previously Proposed</w:t>
            </w:r>
            <w:r w:rsidR="00D27041" w:rsidRPr="003823F5">
              <w:rPr>
                <w:rFonts w:ascii="Arial" w:hAnsi="Arial" w:cs="Arial"/>
                <w:b/>
                <w:sz w:val="26"/>
                <w:szCs w:val="26"/>
              </w:rPr>
              <w:t xml:space="preserve"> Provision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567C9878" w14:textId="77777777" w:rsidR="00D27041" w:rsidRPr="003823F5" w:rsidRDefault="00D27041" w:rsidP="00D335B4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23F5">
              <w:rPr>
                <w:rFonts w:ascii="Arial" w:hAnsi="Arial" w:cs="Arial"/>
                <w:b/>
                <w:sz w:val="26"/>
                <w:szCs w:val="26"/>
              </w:rPr>
              <w:t>Proposed Amendments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04F2056B" w14:textId="77777777" w:rsidR="00D27041" w:rsidRPr="003823F5" w:rsidRDefault="00D27041" w:rsidP="00D335B4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23F5">
              <w:rPr>
                <w:rFonts w:ascii="Arial" w:hAnsi="Arial" w:cs="Arial"/>
                <w:b/>
                <w:sz w:val="26"/>
                <w:szCs w:val="26"/>
              </w:rPr>
              <w:t>Rationale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EC34FEC" w14:textId="1A65DF91" w:rsidR="00D27041" w:rsidRPr="003823F5" w:rsidRDefault="00D27041" w:rsidP="00D335B4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823F5">
              <w:rPr>
                <w:rFonts w:ascii="Arial" w:hAnsi="Arial" w:cs="Arial"/>
                <w:b/>
                <w:sz w:val="26"/>
                <w:szCs w:val="26"/>
              </w:rPr>
              <w:t>Comments</w:t>
            </w:r>
          </w:p>
        </w:tc>
      </w:tr>
      <w:tr w:rsidR="00D27041" w:rsidRPr="003823F5" w14:paraId="46C62A77" w14:textId="26E83AA7" w:rsidTr="000B347E">
        <w:tc>
          <w:tcPr>
            <w:tcW w:w="1284" w:type="dxa"/>
          </w:tcPr>
          <w:p w14:paraId="42876101" w14:textId="77777777" w:rsidR="00D27041" w:rsidRDefault="00D27041" w:rsidP="00E2607E"/>
          <w:p w14:paraId="16C58F41" w14:textId="68D640F0" w:rsidR="00E2607E" w:rsidRPr="00E2607E" w:rsidRDefault="00E2607E" w:rsidP="00E2607E">
            <w:pPr>
              <w:ind w:firstLine="720"/>
            </w:pPr>
          </w:p>
        </w:tc>
        <w:tc>
          <w:tcPr>
            <w:tcW w:w="3673" w:type="dxa"/>
          </w:tcPr>
          <w:p w14:paraId="34155F12" w14:textId="78251F82" w:rsidR="00C13865" w:rsidRPr="003823F5" w:rsidRDefault="00951492" w:rsidP="00C13865">
            <w:pPr>
              <w:rPr>
                <w:b/>
              </w:rPr>
            </w:pPr>
            <w:r>
              <w:rPr>
                <w:b/>
              </w:rPr>
              <w:t>NEW</w:t>
            </w:r>
          </w:p>
        </w:tc>
        <w:tc>
          <w:tcPr>
            <w:tcW w:w="3543" w:type="dxa"/>
          </w:tcPr>
          <w:p w14:paraId="32ED00B1" w14:textId="4841C53E" w:rsidR="00813D8D" w:rsidRPr="003823F5" w:rsidRDefault="00D27041" w:rsidP="00813D8D">
            <w:r w:rsidRPr="003823F5">
              <w:t xml:space="preserve">Amend </w:t>
            </w:r>
            <w:r w:rsidR="00C13865">
              <w:t xml:space="preserve">107 to add </w:t>
            </w:r>
            <w:r w:rsidR="007F3ED5">
              <w:t>the manufacture of</w:t>
            </w:r>
            <w:r w:rsidR="00C13865">
              <w:t xml:space="preserve"> F.5 novelty </w:t>
            </w:r>
            <w:r w:rsidR="00280008">
              <w:t>devices for personal use</w:t>
            </w:r>
            <w:r w:rsidR="007F3ED5">
              <w:t xml:space="preserve"> to</w:t>
            </w:r>
            <w:r w:rsidR="008971A5">
              <w:t xml:space="preserve"> the list of authorized activities under division 2 manufacturing</w:t>
            </w:r>
            <w:r w:rsidR="007F3ED5">
              <w:t xml:space="preserve"> </w:t>
            </w:r>
            <w:r w:rsidR="008971A5">
              <w:t>licences</w:t>
            </w:r>
            <w:r w:rsidR="007F3ED5">
              <w:t xml:space="preserve"> </w:t>
            </w:r>
          </w:p>
        </w:tc>
        <w:tc>
          <w:tcPr>
            <w:tcW w:w="3828" w:type="dxa"/>
          </w:tcPr>
          <w:p w14:paraId="49406742" w14:textId="4D4A53C6" w:rsidR="00D27041" w:rsidRPr="003823F5" w:rsidRDefault="00D27041" w:rsidP="00CA75F3">
            <w:r w:rsidRPr="003823F5">
              <w:t xml:space="preserve">This proposed amendment is intended to </w:t>
            </w:r>
            <w:r w:rsidR="00C13865">
              <w:t xml:space="preserve">explicitly allow hobbyists to create F.5 novelty </w:t>
            </w:r>
            <w:r w:rsidR="00280008">
              <w:t xml:space="preserve">devices if they hold a </w:t>
            </w:r>
            <w:proofErr w:type="gramStart"/>
            <w:r w:rsidR="00672782">
              <w:t>D</w:t>
            </w:r>
            <w:r w:rsidR="00280008">
              <w:t>ivision</w:t>
            </w:r>
            <w:proofErr w:type="gramEnd"/>
            <w:r w:rsidR="00280008">
              <w:t xml:space="preserve"> 2 manufacturing licence.</w:t>
            </w:r>
            <w:r w:rsidR="00C13865">
              <w:t xml:space="preserve"> </w:t>
            </w:r>
            <w:r w:rsidR="00280008">
              <w:t>W</w:t>
            </w:r>
            <w:r w:rsidR="00C13865">
              <w:t xml:space="preserve">ithout </w:t>
            </w:r>
            <w:r w:rsidR="00280008">
              <w:t xml:space="preserve">the </w:t>
            </w:r>
            <w:r w:rsidR="00C13865">
              <w:t>amendment</w:t>
            </w:r>
            <w:r w:rsidR="00280008">
              <w:t>, the manufacture of F.5 novelty devices</w:t>
            </w:r>
            <w:r w:rsidR="00C13865">
              <w:t xml:space="preserve"> by hobbyists would become a </w:t>
            </w:r>
            <w:proofErr w:type="gramStart"/>
            <w:r w:rsidR="00C13865">
              <w:t>Division</w:t>
            </w:r>
            <w:proofErr w:type="gramEnd"/>
            <w:r w:rsidR="00C13865">
              <w:t xml:space="preserve"> 1 manufacturing activity</w:t>
            </w:r>
            <w:r w:rsidR="00EC0CD6">
              <w:t>.</w:t>
            </w:r>
          </w:p>
        </w:tc>
        <w:tc>
          <w:tcPr>
            <w:tcW w:w="3827" w:type="dxa"/>
          </w:tcPr>
          <w:p w14:paraId="361EE0FA" w14:textId="77777777" w:rsidR="00D27041" w:rsidRPr="003823F5" w:rsidRDefault="00D27041" w:rsidP="001F6E34"/>
        </w:tc>
      </w:tr>
      <w:tr w:rsidR="009052D1" w:rsidRPr="003823F5" w14:paraId="69A53D87" w14:textId="77777777" w:rsidTr="000B347E">
        <w:tc>
          <w:tcPr>
            <w:tcW w:w="1284" w:type="dxa"/>
          </w:tcPr>
          <w:p w14:paraId="38FE7B14" w14:textId="0111ABA6" w:rsidR="009052D1" w:rsidRDefault="009052D1" w:rsidP="00E2607E">
            <w:r>
              <w:t># 39</w:t>
            </w:r>
          </w:p>
        </w:tc>
        <w:tc>
          <w:tcPr>
            <w:tcW w:w="3673" w:type="dxa"/>
          </w:tcPr>
          <w:p w14:paraId="1A37DC85" w14:textId="77777777" w:rsidR="009052D1" w:rsidRDefault="00796655" w:rsidP="00C13865">
            <w:pPr>
              <w:rPr>
                <w:b/>
              </w:rPr>
            </w:pPr>
            <w:r>
              <w:rPr>
                <w:b/>
              </w:rPr>
              <w:t>Refusal to Issue</w:t>
            </w:r>
          </w:p>
          <w:p w14:paraId="23A6C30C" w14:textId="77777777" w:rsidR="00796655" w:rsidRDefault="00796655" w:rsidP="00C13865">
            <w:pPr>
              <w:rPr>
                <w:b/>
              </w:rPr>
            </w:pPr>
            <w:r>
              <w:rPr>
                <w:b/>
              </w:rPr>
              <w:t>Refusal of Minister</w:t>
            </w:r>
          </w:p>
          <w:p w14:paraId="0C2D6B3E" w14:textId="0EC819AC" w:rsidR="00796655" w:rsidRPr="00796655" w:rsidRDefault="00796655" w:rsidP="00796655">
            <w:pPr>
              <w:rPr>
                <w:bCs/>
              </w:rPr>
            </w:pPr>
            <w:r w:rsidRPr="00796655">
              <w:rPr>
                <w:bCs/>
              </w:rPr>
              <w:t>164.1 The Minister may, by written notice giving reasons,</w:t>
            </w:r>
            <w:r>
              <w:rPr>
                <w:bCs/>
              </w:rPr>
              <w:t xml:space="preserve"> </w:t>
            </w:r>
            <w:r w:rsidRPr="00796655">
              <w:rPr>
                <w:bCs/>
              </w:rPr>
              <w:t xml:space="preserve">refuse to issue a licence, </w:t>
            </w:r>
            <w:proofErr w:type="gramStart"/>
            <w:r w:rsidRPr="00796655">
              <w:rPr>
                <w:bCs/>
              </w:rPr>
              <w:t>permit</w:t>
            </w:r>
            <w:proofErr w:type="gramEnd"/>
            <w:r w:rsidRPr="00796655">
              <w:rPr>
                <w:bCs/>
              </w:rPr>
              <w:t xml:space="preserve"> or certificate if the</w:t>
            </w:r>
          </w:p>
          <w:p w14:paraId="23DBC9DD" w14:textId="41A722A3" w:rsidR="00796655" w:rsidRPr="00796655" w:rsidRDefault="00796655" w:rsidP="00796655">
            <w:pPr>
              <w:rPr>
                <w:bCs/>
              </w:rPr>
            </w:pPr>
            <w:r w:rsidRPr="00796655">
              <w:rPr>
                <w:bCs/>
              </w:rPr>
              <w:t>Minister has reasonable grounds to believe that issuing</w:t>
            </w:r>
            <w:r>
              <w:rPr>
                <w:bCs/>
              </w:rPr>
              <w:t xml:space="preserve"> </w:t>
            </w:r>
            <w:r w:rsidRPr="00796655">
              <w:rPr>
                <w:bCs/>
              </w:rPr>
              <w:t xml:space="preserve">the licence, permit or certificate would constitute a </w:t>
            </w:r>
            <w:proofErr w:type="gramStart"/>
            <w:r w:rsidRPr="00796655">
              <w:rPr>
                <w:bCs/>
              </w:rPr>
              <w:t>risk</w:t>
            </w:r>
            <w:proofErr w:type="gramEnd"/>
          </w:p>
          <w:p w14:paraId="15C487A8" w14:textId="41DBD7A9" w:rsidR="00796655" w:rsidRDefault="00796655" w:rsidP="00796655">
            <w:pPr>
              <w:rPr>
                <w:b/>
              </w:rPr>
            </w:pPr>
            <w:r w:rsidRPr="00796655">
              <w:rPr>
                <w:bCs/>
              </w:rPr>
              <w:t>to the safety and security of persons.</w:t>
            </w:r>
          </w:p>
        </w:tc>
        <w:tc>
          <w:tcPr>
            <w:tcW w:w="3543" w:type="dxa"/>
          </w:tcPr>
          <w:p w14:paraId="64AD6BB6" w14:textId="588B9D2F" w:rsidR="006B1E8A" w:rsidRDefault="006B1E8A" w:rsidP="00813D8D">
            <w:r>
              <w:t>Amend proposed 164.1 to add safety of property:</w:t>
            </w:r>
          </w:p>
          <w:p w14:paraId="21D72F86" w14:textId="14803FE3" w:rsidR="006B1E8A" w:rsidRDefault="006B1E8A" w:rsidP="00813D8D">
            <w:r>
              <w:t>“</w:t>
            </w:r>
            <w:proofErr w:type="gramStart"/>
            <w:r>
              <w:t>would</w:t>
            </w:r>
            <w:proofErr w:type="gramEnd"/>
            <w:r>
              <w:t xml:space="preserve"> constitute a risk to the safety and security of people or property”</w:t>
            </w:r>
          </w:p>
          <w:p w14:paraId="581EFC4F" w14:textId="77777777" w:rsidR="006B1E8A" w:rsidRDefault="006B1E8A" w:rsidP="00813D8D"/>
          <w:p w14:paraId="69BE4E20" w14:textId="749E8637" w:rsidR="009052D1" w:rsidRDefault="009052D1" w:rsidP="00813D8D">
            <w:r w:rsidRPr="009052D1">
              <w:t>Add provisions</w:t>
            </w:r>
            <w:r>
              <w:t xml:space="preserve"> to 164</w:t>
            </w:r>
            <w:r w:rsidRPr="009052D1">
              <w:t xml:space="preserve"> to establish process for the Minister to review </w:t>
            </w:r>
            <w:r w:rsidR="00280008">
              <w:t xml:space="preserve">the decision to </w:t>
            </w:r>
            <w:r w:rsidRPr="009052D1">
              <w:t>refus</w:t>
            </w:r>
            <w:r w:rsidR="00280008">
              <w:t>e</w:t>
            </w:r>
            <w:r w:rsidRPr="009052D1">
              <w:t xml:space="preserve"> </w:t>
            </w:r>
            <w:r w:rsidR="00280008">
              <w:t xml:space="preserve">a </w:t>
            </w:r>
            <w:r w:rsidRPr="009052D1">
              <w:t xml:space="preserve">licence, </w:t>
            </w:r>
            <w:proofErr w:type="gramStart"/>
            <w:r w:rsidR="00280008">
              <w:t>certificate</w:t>
            </w:r>
            <w:proofErr w:type="gramEnd"/>
            <w:r w:rsidR="00280008">
              <w:t xml:space="preserve"> or permit, </w:t>
            </w:r>
            <w:r w:rsidRPr="009052D1">
              <w:t xml:space="preserve">to align with </w:t>
            </w:r>
            <w:r w:rsidR="00280008">
              <w:t xml:space="preserve">the process of reviewing the </w:t>
            </w:r>
            <w:r w:rsidRPr="009052D1">
              <w:t xml:space="preserve">refusal of </w:t>
            </w:r>
            <w:r w:rsidR="00EC0CD6">
              <w:t xml:space="preserve">an </w:t>
            </w:r>
            <w:r w:rsidRPr="009052D1">
              <w:t>approval letter.</w:t>
            </w:r>
          </w:p>
          <w:p w14:paraId="4879A538" w14:textId="77777777" w:rsidR="009052D1" w:rsidRDefault="009052D1" w:rsidP="00813D8D"/>
          <w:p w14:paraId="4ABDCBF1" w14:textId="77777777" w:rsidR="009052D1" w:rsidRPr="009052D1" w:rsidRDefault="009052D1" w:rsidP="009052D1">
            <w:pPr>
              <w:rPr>
                <w:b/>
                <w:bCs/>
              </w:rPr>
            </w:pPr>
            <w:r w:rsidRPr="009052D1">
              <w:rPr>
                <w:b/>
                <w:bCs/>
              </w:rPr>
              <w:t xml:space="preserve">Request for review </w:t>
            </w:r>
          </w:p>
          <w:p w14:paraId="6E45B065" w14:textId="329614AD" w:rsidR="009052D1" w:rsidRDefault="006B637C" w:rsidP="009052D1">
            <w:r>
              <w:t>164.1(1)</w:t>
            </w:r>
            <w:r w:rsidR="009052D1">
              <w:t xml:space="preserve"> An applicant may, within 30 days after the date on which they receive a notice of refusal, send the Minister written information or documents to establish that the </w:t>
            </w:r>
            <w:r w:rsidR="009052D1">
              <w:lastRenderedPageBreak/>
              <w:t>information on which the refusal was based is incorrect.</w:t>
            </w:r>
          </w:p>
          <w:p w14:paraId="028CF65A" w14:textId="77777777" w:rsidR="009052D1" w:rsidRDefault="009052D1" w:rsidP="009052D1">
            <w:r>
              <w:t xml:space="preserve">Disposition on review </w:t>
            </w:r>
          </w:p>
          <w:p w14:paraId="74D37E49" w14:textId="2B5C2DA3" w:rsidR="009052D1" w:rsidRDefault="006B637C" w:rsidP="009052D1">
            <w:r>
              <w:t>164.1(2)</w:t>
            </w:r>
            <w:r w:rsidR="009052D1">
              <w:t xml:space="preserve"> After reviewing the new information or documents, the Minister </w:t>
            </w:r>
            <w:proofErr w:type="gramStart"/>
            <w:r w:rsidR="009052D1">
              <w:t>must</w:t>
            </w:r>
            <w:proofErr w:type="gramEnd"/>
          </w:p>
          <w:p w14:paraId="70A09B13" w14:textId="77777777" w:rsidR="009052D1" w:rsidRDefault="009052D1" w:rsidP="009052D1">
            <w:r>
              <w:t>(a) issue licence if the information on which the refusal was based is incorrect; or</w:t>
            </w:r>
          </w:p>
          <w:p w14:paraId="2F950642" w14:textId="5C6A0FAD" w:rsidR="009052D1" w:rsidRDefault="009052D1" w:rsidP="009052D1">
            <w:r>
              <w:t>(b) give the applicant written notice of the refusal, and the reasons for the refusal, if the information on which the refusal was based is correct.</w:t>
            </w:r>
          </w:p>
        </w:tc>
        <w:tc>
          <w:tcPr>
            <w:tcW w:w="3828" w:type="dxa"/>
          </w:tcPr>
          <w:p w14:paraId="0A1375D8" w14:textId="279C9113" w:rsidR="00280008" w:rsidRDefault="00280008" w:rsidP="009052D1">
            <w:r w:rsidRPr="00280008">
              <w:lastRenderedPageBreak/>
              <w:t>Adding this provision will provide clarity on what the process for review of a Minister’s refusal decision would be.</w:t>
            </w:r>
          </w:p>
          <w:p w14:paraId="0ECD56C7" w14:textId="77777777" w:rsidR="00280008" w:rsidRDefault="00280008" w:rsidP="009052D1"/>
          <w:p w14:paraId="031DDDBC" w14:textId="3D23A6CA" w:rsidR="009052D1" w:rsidRPr="003823F5" w:rsidRDefault="009052D1" w:rsidP="00672782"/>
        </w:tc>
        <w:tc>
          <w:tcPr>
            <w:tcW w:w="3827" w:type="dxa"/>
          </w:tcPr>
          <w:p w14:paraId="2BD01AEA" w14:textId="467FD2B9" w:rsidR="00156885" w:rsidRPr="00156885" w:rsidRDefault="00156885" w:rsidP="001F6E34">
            <w:pPr>
              <w:rPr>
                <w:color w:val="00B050"/>
              </w:rPr>
            </w:pPr>
          </w:p>
        </w:tc>
      </w:tr>
      <w:tr w:rsidR="004C75B8" w:rsidRPr="003823F5" w14:paraId="1F1C8CB1" w14:textId="77777777" w:rsidTr="000B347E">
        <w:tc>
          <w:tcPr>
            <w:tcW w:w="1284" w:type="dxa"/>
          </w:tcPr>
          <w:p w14:paraId="6D005DBA" w14:textId="478FE147" w:rsidR="004C75B8" w:rsidRDefault="00B0607D" w:rsidP="00E2607E">
            <w:r>
              <w:t>#</w:t>
            </w:r>
            <w:r w:rsidR="00405D73">
              <w:t xml:space="preserve"> </w:t>
            </w:r>
            <w:r>
              <w:t>57 changes to 199</w:t>
            </w:r>
          </w:p>
        </w:tc>
        <w:tc>
          <w:tcPr>
            <w:tcW w:w="3673" w:type="dxa"/>
          </w:tcPr>
          <w:p w14:paraId="40BF3E95" w14:textId="77777777" w:rsidR="004C75B8" w:rsidRDefault="004C75B8" w:rsidP="00C13865">
            <w:pPr>
              <w:rPr>
                <w:b/>
              </w:rPr>
            </w:pPr>
            <w:r>
              <w:rPr>
                <w:b/>
              </w:rPr>
              <w:t>Electronic Monitoring</w:t>
            </w:r>
          </w:p>
          <w:p w14:paraId="5A629BB0" w14:textId="77777777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(4) A vehicle containing explosives may be attended by a</w:t>
            </w:r>
          </w:p>
          <w:p w14:paraId="344225E3" w14:textId="0E85C8E8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person using electronic means if the following requirements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>are met:</w:t>
            </w:r>
          </w:p>
          <w:p w14:paraId="67FA1904" w14:textId="6DDD8374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(a) the vehicle, including the portion of the vehicle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 xml:space="preserve">containing explosives, is </w:t>
            </w:r>
            <w:proofErr w:type="gramStart"/>
            <w:r w:rsidRPr="00366DC4">
              <w:rPr>
                <w:bCs/>
              </w:rPr>
              <w:t>locked;</w:t>
            </w:r>
            <w:proofErr w:type="gramEnd"/>
          </w:p>
          <w:p w14:paraId="5EB401D6" w14:textId="7D86E26D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(b) the vehicle is parked in a secure, access-controlled</w:t>
            </w:r>
            <w:r>
              <w:rPr>
                <w:bCs/>
              </w:rPr>
              <w:t xml:space="preserve"> </w:t>
            </w:r>
            <w:proofErr w:type="gramStart"/>
            <w:r w:rsidRPr="00366DC4">
              <w:rPr>
                <w:bCs/>
              </w:rPr>
              <w:t>location;</w:t>
            </w:r>
            <w:proofErr w:type="gramEnd"/>
          </w:p>
          <w:p w14:paraId="27289995" w14:textId="0E335FAE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(c) the vehicle, including the portion of the vehicle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 xml:space="preserve">containing explosives, is under video </w:t>
            </w:r>
            <w:proofErr w:type="gramStart"/>
            <w:r w:rsidRPr="00366DC4">
              <w:rPr>
                <w:bCs/>
              </w:rPr>
              <w:t>surveillance;</w:t>
            </w:r>
            <w:proofErr w:type="gramEnd"/>
          </w:p>
          <w:p w14:paraId="54151153" w14:textId="657D41C0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(d) the vehicle has a device or system to ensure that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 xml:space="preserve">the vehicle is immobilized and that the driver and </w:t>
            </w:r>
            <w:r w:rsidRPr="00366DC4">
              <w:rPr>
                <w:bCs/>
              </w:rPr>
              <w:lastRenderedPageBreak/>
              <w:t>carrier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>are alerted by an alarm if an attempt is made to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>steal the explosives or tamper with or steal the vehicle; and</w:t>
            </w:r>
          </w:p>
          <w:p w14:paraId="74A067D5" w14:textId="538C60D7" w:rsidR="00366DC4" w:rsidRPr="00366DC4" w:rsidRDefault="00366DC4" w:rsidP="00366DC4">
            <w:pPr>
              <w:rPr>
                <w:bCs/>
              </w:rPr>
            </w:pPr>
            <w:r w:rsidRPr="00366DC4">
              <w:rPr>
                <w:bCs/>
              </w:rPr>
              <w:t>(e) in the case of an emergency, the driver or carrier</w:t>
            </w:r>
            <w:r>
              <w:rPr>
                <w:bCs/>
              </w:rPr>
              <w:t xml:space="preserve"> </w:t>
            </w:r>
            <w:r w:rsidRPr="00366DC4">
              <w:rPr>
                <w:bCs/>
              </w:rPr>
              <w:t>must contact the appropriate authorities as soon as</w:t>
            </w:r>
          </w:p>
          <w:p w14:paraId="4218AD45" w14:textId="48BC44F9" w:rsidR="004C75B8" w:rsidRDefault="00366DC4" w:rsidP="00366DC4">
            <w:pPr>
              <w:rPr>
                <w:b/>
              </w:rPr>
            </w:pPr>
            <w:r w:rsidRPr="00366DC4">
              <w:rPr>
                <w:bCs/>
              </w:rPr>
              <w:t>feasible.</w:t>
            </w:r>
          </w:p>
        </w:tc>
        <w:tc>
          <w:tcPr>
            <w:tcW w:w="3543" w:type="dxa"/>
          </w:tcPr>
          <w:p w14:paraId="5103D2A0" w14:textId="38422F1C" w:rsidR="004C75B8" w:rsidRDefault="004C75B8" w:rsidP="00813D8D">
            <w:r>
              <w:lastRenderedPageBreak/>
              <w:t>Amend 199(4) so</w:t>
            </w:r>
            <w:r w:rsidR="00366DC4">
              <w:t xml:space="preserve"> </w:t>
            </w:r>
            <w:r>
              <w:t>that electronic monitoring is limited to tankers carrying UN 3375 and UN 0332</w:t>
            </w:r>
            <w:r w:rsidR="001861FE">
              <w:t>. Proposed language is below:</w:t>
            </w:r>
          </w:p>
          <w:p w14:paraId="0D8210C3" w14:textId="77777777" w:rsidR="001861FE" w:rsidRDefault="001861FE" w:rsidP="00813D8D"/>
          <w:p w14:paraId="2A5B058F" w14:textId="77777777" w:rsidR="001861FE" w:rsidRDefault="001861FE" w:rsidP="001861FE">
            <w:r>
              <w:t>199 (4) A vehicle containing emulsions and water-based explosives transported in tankers may be attended by a person using electronic means if the following requirements are met:</w:t>
            </w:r>
          </w:p>
          <w:p w14:paraId="00F0F773" w14:textId="7C633BEA" w:rsidR="001861FE" w:rsidRDefault="001861FE" w:rsidP="001861FE">
            <w:r>
              <w:t xml:space="preserve">(a) the vehicle, including the portion of the vehicle containing explosives, must be </w:t>
            </w:r>
            <w:proofErr w:type="gramStart"/>
            <w:r>
              <w:t>locked;</w:t>
            </w:r>
            <w:proofErr w:type="gramEnd"/>
          </w:p>
          <w:p w14:paraId="3751A89B" w14:textId="0F3EACBB" w:rsidR="001861FE" w:rsidRDefault="001861FE" w:rsidP="001861FE">
            <w:r>
              <w:t xml:space="preserve">(b) the vehicle is parked in a secure location, is monitored by a video </w:t>
            </w:r>
            <w:r>
              <w:lastRenderedPageBreak/>
              <w:t xml:space="preserve">system, and has a device or system in place that will ensure the vehicle is </w:t>
            </w:r>
            <w:proofErr w:type="gramStart"/>
            <w:r>
              <w:t>immobilized;</w:t>
            </w:r>
            <w:proofErr w:type="gramEnd"/>
          </w:p>
          <w:p w14:paraId="52BE1421" w14:textId="55DB0260" w:rsidR="001861FE" w:rsidRDefault="001861FE" w:rsidP="001861FE">
            <w:r>
              <w:t>(c) the vehicle is armed with an alarm</w:t>
            </w:r>
            <w:r w:rsidR="00183454">
              <w:t xml:space="preserve"> that</w:t>
            </w:r>
            <w:r>
              <w:t xml:space="preserve"> will alert the driver and carrier if an attempt is made to steal the explosives or tamper with or steal the vehicle; and</w:t>
            </w:r>
          </w:p>
          <w:p w14:paraId="47BBFDEB" w14:textId="57153AAB" w:rsidR="001861FE" w:rsidRPr="003823F5" w:rsidRDefault="001861FE" w:rsidP="001861FE">
            <w:r>
              <w:t>(d) in the case of an emergency, the driver or carrier must contact the appropriate authorities as soon as feasible.</w:t>
            </w:r>
          </w:p>
        </w:tc>
        <w:tc>
          <w:tcPr>
            <w:tcW w:w="3828" w:type="dxa"/>
          </w:tcPr>
          <w:p w14:paraId="339F0E06" w14:textId="77777777" w:rsidR="00534F4C" w:rsidRDefault="006F65CE" w:rsidP="006F65CE">
            <w:r>
              <w:lastRenderedPageBreak/>
              <w:t xml:space="preserve">Comments received noted that the proposed requirements were too onerous and </w:t>
            </w:r>
            <w:r w:rsidR="000B347E">
              <w:t>impractical and</w:t>
            </w:r>
            <w:r>
              <w:t xml:space="preserve"> would be difficult to implement. </w:t>
            </w:r>
          </w:p>
          <w:p w14:paraId="1208EFA6" w14:textId="6F8D9003" w:rsidR="004C75B8" w:rsidRPr="003823F5" w:rsidRDefault="00534F4C" w:rsidP="006F65CE">
            <w:r>
              <w:t>The m</w:t>
            </w:r>
            <w:r w:rsidR="006F65CE">
              <w:t>ain concerns highlighted were regarding the</w:t>
            </w:r>
            <w:r w:rsidR="00711A00">
              <w:t xml:space="preserve"> meaning of electronic</w:t>
            </w:r>
            <w:r w:rsidR="006F65CE">
              <w:t xml:space="preserve"> monitoring and the </w:t>
            </w:r>
            <w:r w:rsidR="00711A00">
              <w:t xml:space="preserve">availability of </w:t>
            </w:r>
            <w:r w:rsidR="006F65CE">
              <w:t>access-controlled parking area</w:t>
            </w:r>
            <w:r w:rsidR="00711A00">
              <w:t>s</w:t>
            </w:r>
            <w:r w:rsidR="006F65CE">
              <w:t xml:space="preserve">. </w:t>
            </w:r>
            <w:r w:rsidR="00672782">
              <w:t xml:space="preserve">Removing </w:t>
            </w:r>
            <w:r w:rsidR="006F65CE">
              <w:t xml:space="preserve">the requirement for a person to be constantly monitoring a video feed, as well as </w:t>
            </w:r>
            <w:r w:rsidR="00672782">
              <w:t xml:space="preserve">removing </w:t>
            </w:r>
            <w:r w:rsidR="006F65CE">
              <w:t xml:space="preserve">the requirement for an access-controlled location would not be acceptable for all explosives, </w:t>
            </w:r>
            <w:r w:rsidR="000B347E">
              <w:t>therefore,</w:t>
            </w:r>
            <w:r w:rsidR="006F65CE">
              <w:t xml:space="preserve"> the proposal is being adjusted to limit the explosives that </w:t>
            </w:r>
            <w:r w:rsidR="00672782">
              <w:t xml:space="preserve">need to </w:t>
            </w:r>
            <w:r w:rsidR="006F65CE">
              <w:t xml:space="preserve">be monitored </w:t>
            </w:r>
            <w:r w:rsidR="006F65CE">
              <w:lastRenderedPageBreak/>
              <w:t xml:space="preserve">electronically to emulsions and water-based explosives. </w:t>
            </w:r>
          </w:p>
        </w:tc>
        <w:tc>
          <w:tcPr>
            <w:tcW w:w="3827" w:type="dxa"/>
          </w:tcPr>
          <w:p w14:paraId="7BDE6D85" w14:textId="77777777" w:rsidR="004C75B8" w:rsidRPr="003823F5" w:rsidRDefault="004C75B8" w:rsidP="001F6E34"/>
        </w:tc>
      </w:tr>
      <w:tr w:rsidR="00EE6DE2" w:rsidRPr="003823F5" w14:paraId="343C7C9F" w14:textId="77777777" w:rsidTr="000B347E">
        <w:tc>
          <w:tcPr>
            <w:tcW w:w="1284" w:type="dxa"/>
          </w:tcPr>
          <w:p w14:paraId="4D20A75D" w14:textId="5F2166BF" w:rsidR="00EE6DE2" w:rsidRDefault="00C1707F" w:rsidP="00E2607E">
            <w:r>
              <w:t># 58 changes to sections 200 and 201</w:t>
            </w:r>
          </w:p>
        </w:tc>
        <w:tc>
          <w:tcPr>
            <w:tcW w:w="3673" w:type="dxa"/>
          </w:tcPr>
          <w:p w14:paraId="03C6B40C" w14:textId="77777777" w:rsidR="00EE6DE2" w:rsidRDefault="009D352B" w:rsidP="00C13865">
            <w:pPr>
              <w:rPr>
                <w:b/>
              </w:rPr>
            </w:pPr>
            <w:r>
              <w:rPr>
                <w:b/>
              </w:rPr>
              <w:t>Accidents and Incidents</w:t>
            </w:r>
          </w:p>
          <w:p w14:paraId="7B03D53D" w14:textId="3230148D" w:rsidR="009D352B" w:rsidRPr="009D352B" w:rsidRDefault="009D352B" w:rsidP="009D352B">
            <w:pPr>
              <w:rPr>
                <w:bCs/>
              </w:rPr>
            </w:pPr>
            <w:r w:rsidRPr="009D352B">
              <w:rPr>
                <w:bCs/>
              </w:rPr>
              <w:t>201 (1) The driver of a vehicle that contains explosives</w:t>
            </w:r>
            <w:r>
              <w:rPr>
                <w:bCs/>
              </w:rPr>
              <w:t xml:space="preserve"> </w:t>
            </w:r>
            <w:r w:rsidRPr="009D352B">
              <w:rPr>
                <w:bCs/>
              </w:rPr>
              <w:t>must, as soon as the circumstances permit,</w:t>
            </w:r>
          </w:p>
          <w:p w14:paraId="4E877361" w14:textId="5086DD83" w:rsidR="009D352B" w:rsidRPr="009D352B" w:rsidRDefault="009D352B" w:rsidP="009D352B">
            <w:pPr>
              <w:rPr>
                <w:bCs/>
              </w:rPr>
            </w:pPr>
            <w:r w:rsidRPr="009D352B">
              <w:rPr>
                <w:bCs/>
              </w:rPr>
              <w:t>(a) notify the shipper and the carrier if the vehicle is</w:t>
            </w:r>
            <w:r>
              <w:rPr>
                <w:bCs/>
              </w:rPr>
              <w:t xml:space="preserve"> </w:t>
            </w:r>
            <w:r w:rsidRPr="009D352B">
              <w:rPr>
                <w:bCs/>
              </w:rPr>
              <w:t>delayed for any reason, including road conditions or</w:t>
            </w:r>
            <w:r>
              <w:rPr>
                <w:bCs/>
              </w:rPr>
              <w:t xml:space="preserve"> </w:t>
            </w:r>
            <w:r w:rsidRPr="009D352B">
              <w:rPr>
                <w:bCs/>
              </w:rPr>
              <w:t>mechanical issues; and</w:t>
            </w:r>
          </w:p>
          <w:p w14:paraId="7CB8331F" w14:textId="75190E90" w:rsidR="009D352B" w:rsidRPr="009D352B" w:rsidRDefault="009D352B" w:rsidP="009D352B">
            <w:pPr>
              <w:rPr>
                <w:bCs/>
              </w:rPr>
            </w:pPr>
            <w:r w:rsidRPr="009D352B">
              <w:rPr>
                <w:bCs/>
              </w:rPr>
              <w:t xml:space="preserve">(b) notify the police, the </w:t>
            </w:r>
            <w:proofErr w:type="gramStart"/>
            <w:r w:rsidRPr="009D352B">
              <w:rPr>
                <w:bCs/>
              </w:rPr>
              <w:t>shipper</w:t>
            </w:r>
            <w:proofErr w:type="gramEnd"/>
            <w:r w:rsidRPr="009D352B">
              <w:rPr>
                <w:bCs/>
              </w:rPr>
              <w:t xml:space="preserve"> and the carrier if the</w:t>
            </w:r>
            <w:r>
              <w:rPr>
                <w:bCs/>
              </w:rPr>
              <w:t xml:space="preserve"> </w:t>
            </w:r>
            <w:r w:rsidRPr="009D352B">
              <w:rPr>
                <w:bCs/>
              </w:rPr>
              <w:t>vehicle is involved in a road accident or incident that</w:t>
            </w:r>
          </w:p>
          <w:p w14:paraId="418E1BAE" w14:textId="77777777" w:rsidR="009D352B" w:rsidRPr="009D352B" w:rsidRDefault="009D352B" w:rsidP="009D352B">
            <w:pPr>
              <w:rPr>
                <w:bCs/>
              </w:rPr>
            </w:pPr>
            <w:r w:rsidRPr="009D352B">
              <w:rPr>
                <w:bCs/>
              </w:rPr>
              <w:t xml:space="preserve">results </w:t>
            </w:r>
            <w:proofErr w:type="gramStart"/>
            <w:r w:rsidRPr="009D352B">
              <w:rPr>
                <w:bCs/>
              </w:rPr>
              <w:t>in</w:t>
            </w:r>
            <w:proofErr w:type="gramEnd"/>
          </w:p>
          <w:p w14:paraId="03C8BFF3" w14:textId="77777777" w:rsidR="009D352B" w:rsidRPr="009D352B" w:rsidRDefault="009D352B" w:rsidP="009D352B">
            <w:pPr>
              <w:ind w:left="720"/>
              <w:rPr>
                <w:bCs/>
              </w:rPr>
            </w:pPr>
            <w:r w:rsidRPr="009D352B">
              <w:rPr>
                <w:bCs/>
              </w:rPr>
              <w:t>(</w:t>
            </w:r>
            <w:proofErr w:type="spellStart"/>
            <w:r w:rsidRPr="009D352B">
              <w:rPr>
                <w:bCs/>
              </w:rPr>
              <w:t>i</w:t>
            </w:r>
            <w:proofErr w:type="spellEnd"/>
            <w:r w:rsidRPr="009D352B">
              <w:rPr>
                <w:bCs/>
              </w:rPr>
              <w:t xml:space="preserve">) the theft, attempted </w:t>
            </w:r>
            <w:proofErr w:type="gramStart"/>
            <w:r w:rsidRPr="009D352B">
              <w:rPr>
                <w:bCs/>
              </w:rPr>
              <w:t>theft</w:t>
            </w:r>
            <w:proofErr w:type="gramEnd"/>
            <w:r w:rsidRPr="009D352B">
              <w:rPr>
                <w:bCs/>
              </w:rPr>
              <w:t xml:space="preserve"> or loss of an explosive,</w:t>
            </w:r>
          </w:p>
          <w:p w14:paraId="477889AB" w14:textId="77777777" w:rsidR="009D352B" w:rsidRPr="009D352B" w:rsidRDefault="009D352B" w:rsidP="009D352B">
            <w:pPr>
              <w:ind w:left="720"/>
              <w:rPr>
                <w:bCs/>
              </w:rPr>
            </w:pPr>
            <w:r w:rsidRPr="009D352B">
              <w:rPr>
                <w:bCs/>
              </w:rPr>
              <w:t>(ii) a fire, release, anticipated release or accidental</w:t>
            </w:r>
          </w:p>
          <w:p w14:paraId="76464E64" w14:textId="77777777" w:rsidR="009D352B" w:rsidRPr="009D352B" w:rsidRDefault="009D352B" w:rsidP="009D352B">
            <w:pPr>
              <w:ind w:left="720"/>
              <w:rPr>
                <w:bCs/>
              </w:rPr>
            </w:pPr>
            <w:r w:rsidRPr="009D352B">
              <w:rPr>
                <w:bCs/>
              </w:rPr>
              <w:t>explosion,</w:t>
            </w:r>
          </w:p>
          <w:p w14:paraId="023A5A67" w14:textId="77777777" w:rsidR="009D352B" w:rsidRPr="009D352B" w:rsidRDefault="009D352B" w:rsidP="009D352B">
            <w:pPr>
              <w:ind w:left="720"/>
              <w:rPr>
                <w:bCs/>
              </w:rPr>
            </w:pPr>
            <w:r w:rsidRPr="009D352B">
              <w:rPr>
                <w:bCs/>
              </w:rPr>
              <w:t>(iii) an injury or death, or</w:t>
            </w:r>
          </w:p>
          <w:p w14:paraId="5443033D" w14:textId="77777777" w:rsidR="009D352B" w:rsidRDefault="009D352B" w:rsidP="009D352B">
            <w:pPr>
              <w:ind w:left="720"/>
              <w:rPr>
                <w:bCs/>
              </w:rPr>
            </w:pPr>
            <w:r w:rsidRPr="009D352B">
              <w:rPr>
                <w:bCs/>
              </w:rPr>
              <w:lastRenderedPageBreak/>
              <w:t>(iv) any accidental property or vehicle damage.</w:t>
            </w:r>
          </w:p>
          <w:p w14:paraId="1877E5CC" w14:textId="77777777" w:rsidR="006958E3" w:rsidRDefault="006958E3" w:rsidP="006958E3">
            <w:pPr>
              <w:rPr>
                <w:b/>
              </w:rPr>
            </w:pPr>
          </w:p>
          <w:p w14:paraId="7C306D61" w14:textId="77777777" w:rsidR="006958E3" w:rsidRDefault="006958E3" w:rsidP="006958E3">
            <w:pPr>
              <w:rPr>
                <w:b/>
              </w:rPr>
            </w:pPr>
            <w:r>
              <w:rPr>
                <w:b/>
              </w:rPr>
              <w:t>Report</w:t>
            </w:r>
          </w:p>
          <w:p w14:paraId="7547A48F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(2) In the event of an accident or incident referred to in</w:t>
            </w:r>
          </w:p>
          <w:p w14:paraId="5880FE67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paragraph (1)(b), the carrier must, as soon as the circumstances</w:t>
            </w:r>
          </w:p>
          <w:p w14:paraId="67ACAA61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permit,</w:t>
            </w:r>
          </w:p>
          <w:p w14:paraId="661139D5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 xml:space="preserve">(a) report the accident or incident to an </w:t>
            </w:r>
            <w:proofErr w:type="gramStart"/>
            <w:r w:rsidRPr="006958E3">
              <w:rPr>
                <w:bCs/>
              </w:rPr>
              <w:t>inspector;</w:t>
            </w:r>
            <w:proofErr w:type="gramEnd"/>
          </w:p>
          <w:p w14:paraId="3DE47E1D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(b) ensure that any damaged explosives are transported</w:t>
            </w:r>
          </w:p>
          <w:p w14:paraId="01C7014B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 xml:space="preserve">to any location that the Minister </w:t>
            </w:r>
            <w:proofErr w:type="gramStart"/>
            <w:r w:rsidRPr="006958E3">
              <w:rPr>
                <w:bCs/>
              </w:rPr>
              <w:t>designates;</w:t>
            </w:r>
            <w:proofErr w:type="gramEnd"/>
          </w:p>
          <w:p w14:paraId="4A895D28" w14:textId="77777777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(c) ensure that any undamaged explosives are transported</w:t>
            </w:r>
          </w:p>
          <w:p w14:paraId="10B4749C" w14:textId="4AAD0956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to their destination or to a safe and secure location;</w:t>
            </w:r>
            <w:r>
              <w:rPr>
                <w:bCs/>
              </w:rPr>
              <w:t xml:space="preserve"> </w:t>
            </w:r>
            <w:r w:rsidRPr="006958E3">
              <w:rPr>
                <w:bCs/>
              </w:rPr>
              <w:t>and</w:t>
            </w:r>
          </w:p>
          <w:p w14:paraId="38307C2E" w14:textId="5CBF5F65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(d) provide the Chief Inspector of Explosives with a</w:t>
            </w:r>
            <w:r>
              <w:rPr>
                <w:bCs/>
              </w:rPr>
              <w:t xml:space="preserve"> </w:t>
            </w:r>
            <w:r w:rsidRPr="006958E3">
              <w:rPr>
                <w:bCs/>
              </w:rPr>
              <w:t>written report about the accident or incident that includes</w:t>
            </w:r>
          </w:p>
          <w:p w14:paraId="4D13D569" w14:textId="1C1D67C8" w:rsidR="006958E3" w:rsidRPr="006958E3" w:rsidRDefault="006958E3" w:rsidP="006958E3">
            <w:pPr>
              <w:rPr>
                <w:bCs/>
              </w:rPr>
            </w:pPr>
            <w:r w:rsidRPr="006958E3">
              <w:rPr>
                <w:bCs/>
              </w:rPr>
              <w:t>the likely cause of the accident or incident and</w:t>
            </w:r>
            <w:r>
              <w:rPr>
                <w:bCs/>
              </w:rPr>
              <w:t xml:space="preserve"> </w:t>
            </w:r>
            <w:r w:rsidRPr="006958E3">
              <w:rPr>
                <w:bCs/>
              </w:rPr>
              <w:t xml:space="preserve">the steps that the carrier will take to prevent a </w:t>
            </w:r>
            <w:proofErr w:type="gramStart"/>
            <w:r w:rsidRPr="006958E3">
              <w:rPr>
                <w:bCs/>
              </w:rPr>
              <w:t>recurrence</w:t>
            </w:r>
            <w:proofErr w:type="gramEnd"/>
          </w:p>
          <w:p w14:paraId="78C186C1" w14:textId="1FACFA01" w:rsidR="006958E3" w:rsidRDefault="006958E3" w:rsidP="006958E3">
            <w:pPr>
              <w:rPr>
                <w:b/>
              </w:rPr>
            </w:pPr>
            <w:r w:rsidRPr="006958E3">
              <w:rPr>
                <w:bCs/>
              </w:rPr>
              <w:t>of an accident or incident of that nature.</w:t>
            </w:r>
          </w:p>
        </w:tc>
        <w:tc>
          <w:tcPr>
            <w:tcW w:w="3543" w:type="dxa"/>
          </w:tcPr>
          <w:p w14:paraId="5C0DB085" w14:textId="77777777" w:rsidR="00EE6DE2" w:rsidRDefault="006958E3" w:rsidP="00813D8D">
            <w:r>
              <w:lastRenderedPageBreak/>
              <w:t xml:space="preserve">Amend 201(2)(d) </w:t>
            </w:r>
            <w:r w:rsidR="007605FA">
              <w:t>to the following:</w:t>
            </w:r>
          </w:p>
          <w:p w14:paraId="13FAF1D6" w14:textId="77777777" w:rsidR="007605FA" w:rsidRDefault="007605FA" w:rsidP="00813D8D"/>
          <w:p w14:paraId="335B9080" w14:textId="5BD70F28" w:rsidR="007605FA" w:rsidRDefault="007605FA" w:rsidP="00813D8D">
            <w:r>
              <w:t xml:space="preserve">(d) </w:t>
            </w:r>
            <w:r w:rsidRPr="007605FA">
              <w:t xml:space="preserve">provide the Chief Inspector of Explosives with a written report about the accident or </w:t>
            </w:r>
            <w:r w:rsidR="001307D7" w:rsidRPr="007605FA">
              <w:t>incident described</w:t>
            </w:r>
            <w:r w:rsidRPr="007605FA">
              <w:t xml:space="preserve"> in 201(1)(b) (</w:t>
            </w:r>
            <w:proofErr w:type="spellStart"/>
            <w:r w:rsidRPr="007605FA">
              <w:t>i</w:t>
            </w:r>
            <w:proofErr w:type="spellEnd"/>
            <w:r w:rsidRPr="007605FA">
              <w:t>), (ii) or (iii) that includes the likely cause of the accident or incident and the steps that the carrier will take to prevent a recurrence of an accident or incident of that nature.</w:t>
            </w:r>
          </w:p>
        </w:tc>
        <w:tc>
          <w:tcPr>
            <w:tcW w:w="3828" w:type="dxa"/>
          </w:tcPr>
          <w:p w14:paraId="5AC3580A" w14:textId="28BD5364" w:rsidR="00EE6DE2" w:rsidRDefault="006958E3" w:rsidP="006958E3">
            <w:r>
              <w:t xml:space="preserve">Feedback received noted that </w:t>
            </w:r>
            <w:r w:rsidR="00672782">
              <w:t xml:space="preserve">this </w:t>
            </w:r>
            <w:r>
              <w:t xml:space="preserve">proposed amendment was too onerous and not needed from an incident investigation perspective. It was determined that </w:t>
            </w:r>
            <w:r w:rsidR="000B347E">
              <w:t>a formal</w:t>
            </w:r>
            <w:r>
              <w:t xml:space="preserve"> written report regarding vehicle damage such as tire blow outs or fender benders </w:t>
            </w:r>
            <w:r w:rsidR="00672782">
              <w:t>would not be</w:t>
            </w:r>
            <w:r>
              <w:t xml:space="preserve"> needed and</w:t>
            </w:r>
            <w:r w:rsidR="00672782">
              <w:t xml:space="preserve"> that</w:t>
            </w:r>
            <w:r>
              <w:t xml:space="preserve"> under 201(2)(a) the incident would still be reported to an inspector. </w:t>
            </w:r>
          </w:p>
        </w:tc>
        <w:tc>
          <w:tcPr>
            <w:tcW w:w="3827" w:type="dxa"/>
          </w:tcPr>
          <w:p w14:paraId="66E29170" w14:textId="5EAF641A" w:rsidR="008B4D92" w:rsidRPr="00D8388E" w:rsidRDefault="008B4D92" w:rsidP="008B4D92">
            <w:pPr>
              <w:rPr>
                <w:color w:val="00B050"/>
              </w:rPr>
            </w:pPr>
          </w:p>
          <w:p w14:paraId="131553CC" w14:textId="4406E1A2" w:rsidR="00EE6DE2" w:rsidRPr="00D8388E" w:rsidRDefault="00EE6DE2" w:rsidP="001F6E34">
            <w:pPr>
              <w:rPr>
                <w:color w:val="00B050"/>
              </w:rPr>
            </w:pPr>
          </w:p>
        </w:tc>
      </w:tr>
      <w:tr w:rsidR="00060ED1" w:rsidRPr="003823F5" w14:paraId="1BB872D7" w14:textId="77777777" w:rsidTr="000B347E">
        <w:tc>
          <w:tcPr>
            <w:tcW w:w="1284" w:type="dxa"/>
          </w:tcPr>
          <w:p w14:paraId="4DC3A63F" w14:textId="7DBFFB4E" w:rsidR="00060ED1" w:rsidRDefault="00060ED1" w:rsidP="00E2607E">
            <w:r>
              <w:t># 73</w:t>
            </w:r>
          </w:p>
        </w:tc>
        <w:tc>
          <w:tcPr>
            <w:tcW w:w="3673" w:type="dxa"/>
          </w:tcPr>
          <w:p w14:paraId="5278A3E3" w14:textId="61BACBA7" w:rsidR="00324E76" w:rsidRDefault="00324E76" w:rsidP="00C13865">
            <w:pPr>
              <w:rPr>
                <w:b/>
              </w:rPr>
            </w:pPr>
            <w:r>
              <w:rPr>
                <w:b/>
              </w:rPr>
              <w:t>Reactive Targets</w:t>
            </w:r>
          </w:p>
          <w:p w14:paraId="6FCB2C99" w14:textId="312CB1F2" w:rsidR="00324E76" w:rsidRPr="00324E76" w:rsidRDefault="002A7B03" w:rsidP="00324E76">
            <w:pPr>
              <w:rPr>
                <w:bCs/>
              </w:rPr>
            </w:pPr>
            <w:r>
              <w:rPr>
                <w:b/>
              </w:rPr>
              <w:t xml:space="preserve">264(2) </w:t>
            </w:r>
            <w:r w:rsidR="00324E76" w:rsidRPr="00324E76">
              <w:rPr>
                <w:bCs/>
              </w:rPr>
              <w:t xml:space="preserve">No more than 5 kg of reactive targets may be </w:t>
            </w:r>
            <w:proofErr w:type="gramStart"/>
            <w:r w:rsidR="00324E76" w:rsidRPr="00324E76">
              <w:rPr>
                <w:bCs/>
              </w:rPr>
              <w:t>stored</w:t>
            </w:r>
            <w:proofErr w:type="gramEnd"/>
          </w:p>
          <w:p w14:paraId="65CD9521" w14:textId="607ACF55" w:rsidR="00060ED1" w:rsidRPr="00324E76" w:rsidRDefault="00324E76" w:rsidP="00324E76">
            <w:pPr>
              <w:rPr>
                <w:bCs/>
              </w:rPr>
            </w:pPr>
            <w:r w:rsidRPr="00324E76">
              <w:rPr>
                <w:bCs/>
              </w:rPr>
              <w:lastRenderedPageBreak/>
              <w:t>at any one time.</w:t>
            </w:r>
          </w:p>
        </w:tc>
        <w:tc>
          <w:tcPr>
            <w:tcW w:w="3543" w:type="dxa"/>
          </w:tcPr>
          <w:p w14:paraId="1ADEEF74" w14:textId="56D4D412" w:rsidR="00060ED1" w:rsidRDefault="00060ED1" w:rsidP="00813D8D">
            <w:r w:rsidRPr="00060ED1">
              <w:lastRenderedPageBreak/>
              <w:t>Adjust the</w:t>
            </w:r>
            <w:r w:rsidR="003B2E22">
              <w:t xml:space="preserve"> proposed</w:t>
            </w:r>
            <w:r w:rsidRPr="00060ED1">
              <w:t xml:space="preserve"> unlicensed storage limit of reactive targets from 5kgs to 6kgs</w:t>
            </w:r>
            <w:r w:rsidR="008C4E15">
              <w:t>.</w:t>
            </w:r>
          </w:p>
        </w:tc>
        <w:tc>
          <w:tcPr>
            <w:tcW w:w="3828" w:type="dxa"/>
          </w:tcPr>
          <w:p w14:paraId="7F52B438" w14:textId="207DDD9F" w:rsidR="00060ED1" w:rsidRDefault="00060ED1" w:rsidP="00060ED1">
            <w:r>
              <w:t>The standard case of</w:t>
            </w:r>
            <w:r w:rsidR="008C4E15">
              <w:t xml:space="preserve"> reactive</w:t>
            </w:r>
            <w:r>
              <w:t xml:space="preserve"> targets </w:t>
            </w:r>
            <w:r w:rsidR="003B2E22">
              <w:t>available for sale</w:t>
            </w:r>
            <w:r>
              <w:t xml:space="preserve"> in Canada </w:t>
            </w:r>
            <w:r w:rsidR="003B2E22">
              <w:t>is</w:t>
            </w:r>
            <w:r>
              <w:t xml:space="preserve"> 5.44 kg.</w:t>
            </w:r>
          </w:p>
          <w:p w14:paraId="7594EE28" w14:textId="58C68FED" w:rsidR="00060ED1" w:rsidRDefault="00060ED1" w:rsidP="00060ED1">
            <w:r>
              <w:lastRenderedPageBreak/>
              <w:t xml:space="preserve">The proposal aimed to reduce storage limits for safety </w:t>
            </w:r>
            <w:r w:rsidR="000B347E">
              <w:t>purposes</w:t>
            </w:r>
            <w:r w:rsidR="003B2E22">
              <w:t>. Adjusting the limit to allow for one case, is reasonable, and prevents</w:t>
            </w:r>
            <w:r>
              <w:t xml:space="preserve"> manufacturers</w:t>
            </w:r>
            <w:r w:rsidR="003B2E22">
              <w:t xml:space="preserve"> from</w:t>
            </w:r>
            <w:r>
              <w:t xml:space="preserve"> </w:t>
            </w:r>
            <w:r w:rsidR="00672782">
              <w:t xml:space="preserve">having to change  </w:t>
            </w:r>
            <w:r w:rsidR="003B2E22">
              <w:t xml:space="preserve"> </w:t>
            </w:r>
            <w:r>
              <w:t>packaging.</w:t>
            </w:r>
          </w:p>
        </w:tc>
        <w:tc>
          <w:tcPr>
            <w:tcW w:w="3827" w:type="dxa"/>
          </w:tcPr>
          <w:p w14:paraId="6D817D7F" w14:textId="77777777" w:rsidR="00060ED1" w:rsidRPr="003823F5" w:rsidRDefault="00060ED1" w:rsidP="001F6E34"/>
        </w:tc>
      </w:tr>
      <w:tr w:rsidR="000B3251" w:rsidRPr="003823F5" w14:paraId="49F3C83C" w14:textId="77777777" w:rsidTr="000B347E">
        <w:tc>
          <w:tcPr>
            <w:tcW w:w="1284" w:type="dxa"/>
          </w:tcPr>
          <w:p w14:paraId="66CD969A" w14:textId="508F51FD" w:rsidR="000B3251" w:rsidRDefault="000B3251" w:rsidP="00E2607E">
            <w:r>
              <w:t># 85</w:t>
            </w:r>
          </w:p>
        </w:tc>
        <w:tc>
          <w:tcPr>
            <w:tcW w:w="3673" w:type="dxa"/>
          </w:tcPr>
          <w:p w14:paraId="6C3E64EE" w14:textId="77777777" w:rsidR="000B3251" w:rsidRDefault="000B3251" w:rsidP="00C13865">
            <w:pPr>
              <w:rPr>
                <w:b/>
              </w:rPr>
            </w:pPr>
            <w:r>
              <w:rPr>
                <w:b/>
              </w:rPr>
              <w:t>Identification</w:t>
            </w:r>
          </w:p>
          <w:p w14:paraId="0602EB2C" w14:textId="03A54F12" w:rsidR="000B3251" w:rsidRPr="000B3251" w:rsidRDefault="000B3251" w:rsidP="000B3251">
            <w:pPr>
              <w:rPr>
                <w:bCs/>
              </w:rPr>
            </w:pPr>
            <w:r>
              <w:rPr>
                <w:b/>
              </w:rPr>
              <w:t xml:space="preserve">294 </w:t>
            </w:r>
            <w:r w:rsidRPr="000B3251">
              <w:rPr>
                <w:b/>
              </w:rPr>
              <w:t xml:space="preserve">(1) </w:t>
            </w:r>
            <w:r w:rsidRPr="000B3251">
              <w:rPr>
                <w:bCs/>
              </w:rPr>
              <w:t>Before selling propellant powder to a buyer, the</w:t>
            </w:r>
            <w:r>
              <w:rPr>
                <w:bCs/>
              </w:rPr>
              <w:t xml:space="preserve"> </w:t>
            </w:r>
            <w:r w:rsidRPr="000B3251">
              <w:rPr>
                <w:bCs/>
              </w:rPr>
              <w:t>seller must require the buyer to provide their valid fireworks</w:t>
            </w:r>
            <w:r>
              <w:rPr>
                <w:bCs/>
              </w:rPr>
              <w:t xml:space="preserve"> </w:t>
            </w:r>
            <w:r w:rsidRPr="000B3251">
              <w:rPr>
                <w:bCs/>
              </w:rPr>
              <w:t>operator certificate — pyrotechnician or Firearms</w:t>
            </w:r>
          </w:p>
          <w:p w14:paraId="78177645" w14:textId="11018A79" w:rsidR="000B3251" w:rsidRPr="000B3251" w:rsidRDefault="000B3251" w:rsidP="000B3251">
            <w:pPr>
              <w:rPr>
                <w:bCs/>
              </w:rPr>
            </w:pPr>
            <w:r w:rsidRPr="000B3251">
              <w:rPr>
                <w:bCs/>
              </w:rPr>
              <w:t>Possession and Acquisition Licence issued under the</w:t>
            </w:r>
            <w:r>
              <w:rPr>
                <w:bCs/>
              </w:rPr>
              <w:t xml:space="preserve"> </w:t>
            </w:r>
            <w:r w:rsidRPr="000B3251">
              <w:rPr>
                <w:bCs/>
              </w:rPr>
              <w:t>Firearms Act and to establish their identity by providing</w:t>
            </w:r>
          </w:p>
        </w:tc>
        <w:tc>
          <w:tcPr>
            <w:tcW w:w="3543" w:type="dxa"/>
          </w:tcPr>
          <w:p w14:paraId="37213D96" w14:textId="7B133543" w:rsidR="000B3251" w:rsidRPr="00060ED1" w:rsidRDefault="000B3251" w:rsidP="00813D8D">
            <w:r>
              <w:t>Amend 294 to allow for the purchase of propellant powder using a Public Agents identification Number (PAIN)</w:t>
            </w:r>
          </w:p>
        </w:tc>
        <w:tc>
          <w:tcPr>
            <w:tcW w:w="3828" w:type="dxa"/>
          </w:tcPr>
          <w:p w14:paraId="11447B89" w14:textId="763A4194" w:rsidR="000B3251" w:rsidRDefault="000B3251" w:rsidP="00060ED1">
            <w:r>
              <w:t xml:space="preserve">This amendment </w:t>
            </w:r>
            <w:r w:rsidR="00BD2BF9">
              <w:t xml:space="preserve">addresses concerns that restricting sales to PAL holders would require public servants to provide a personal PAL to purchase on behalf of the government. Including the PAIN </w:t>
            </w:r>
            <w:r>
              <w:t xml:space="preserve">would allow </w:t>
            </w:r>
            <w:r w:rsidR="00AB7A9E">
              <w:t>public service</w:t>
            </w:r>
            <w:r>
              <w:t xml:space="preserve"> employees to purchase propellant powder</w:t>
            </w:r>
            <w:r w:rsidR="00BD2BF9">
              <w:t xml:space="preserve"> on behalf of a government agency</w:t>
            </w:r>
            <w:r w:rsidR="00AB7A9E">
              <w:t xml:space="preserve">, </w:t>
            </w:r>
            <w:proofErr w:type="gramStart"/>
            <w:r w:rsidR="00AB7A9E">
              <w:t>e.g.</w:t>
            </w:r>
            <w:proofErr w:type="gramEnd"/>
            <w:r w:rsidR="00AB7A9E">
              <w:t xml:space="preserve"> Parks Canada historical sites</w:t>
            </w:r>
            <w:r>
              <w:t xml:space="preserve">. </w:t>
            </w:r>
          </w:p>
        </w:tc>
        <w:tc>
          <w:tcPr>
            <w:tcW w:w="3827" w:type="dxa"/>
          </w:tcPr>
          <w:p w14:paraId="0B43FAA8" w14:textId="77777777" w:rsidR="000B3251" w:rsidRPr="003823F5" w:rsidRDefault="000B3251" w:rsidP="001F6E34"/>
        </w:tc>
      </w:tr>
      <w:tr w:rsidR="00D27041" w:rsidRPr="003823F5" w14:paraId="3B5CA31D" w14:textId="59A99529" w:rsidTr="000B347E">
        <w:tc>
          <w:tcPr>
            <w:tcW w:w="1284" w:type="dxa"/>
            <w:shd w:val="clear" w:color="auto" w:fill="auto"/>
          </w:tcPr>
          <w:p w14:paraId="1C8A42F9" w14:textId="77D8023C" w:rsidR="00D27041" w:rsidRPr="003823F5" w:rsidRDefault="00405D73" w:rsidP="00E2607E">
            <w:r>
              <w:t># 93</w:t>
            </w:r>
          </w:p>
        </w:tc>
        <w:tc>
          <w:tcPr>
            <w:tcW w:w="3673" w:type="dxa"/>
            <w:shd w:val="clear" w:color="auto" w:fill="auto"/>
          </w:tcPr>
          <w:p w14:paraId="7F380D70" w14:textId="53884B5C" w:rsidR="00D27041" w:rsidRPr="00F83C4A" w:rsidRDefault="00F83C4A" w:rsidP="00F83C4A">
            <w:r w:rsidRPr="00327CD2">
              <w:rPr>
                <w:b/>
                <w:bCs/>
              </w:rPr>
              <w:t>novelty device</w:t>
            </w:r>
            <w:r w:rsidRPr="00F83C4A">
              <w:t xml:space="preserve"> means a low-noise, low-energy firework</w:t>
            </w:r>
            <w:r>
              <w:t xml:space="preserve"> </w:t>
            </w:r>
            <w:r w:rsidRPr="00F83C4A">
              <w:t>that is safe to use in confined spaces. (</w:t>
            </w:r>
            <w:proofErr w:type="spellStart"/>
            <w:proofErr w:type="gramStart"/>
            <w:r w:rsidRPr="00F83C4A">
              <w:t>dispositif</w:t>
            </w:r>
            <w:proofErr w:type="spellEnd"/>
            <w:proofErr w:type="gramEnd"/>
            <w:r w:rsidRPr="00F83C4A">
              <w:t xml:space="preserve"> de </w:t>
            </w:r>
            <w:proofErr w:type="spellStart"/>
            <w:r w:rsidRPr="00F83C4A">
              <w:t>fantaisie</w:t>
            </w:r>
            <w:proofErr w:type="spellEnd"/>
            <w:r w:rsidRPr="00F83C4A">
              <w:t>)</w:t>
            </w:r>
          </w:p>
        </w:tc>
        <w:tc>
          <w:tcPr>
            <w:tcW w:w="3543" w:type="dxa"/>
            <w:shd w:val="clear" w:color="auto" w:fill="auto"/>
          </w:tcPr>
          <w:p w14:paraId="380D688F" w14:textId="2922C87B" w:rsidR="00F83C4A" w:rsidRPr="003823F5" w:rsidRDefault="00D27041" w:rsidP="00F83C4A">
            <w:r w:rsidRPr="003823F5">
              <w:t xml:space="preserve">Amend </w:t>
            </w:r>
            <w:r w:rsidR="00F83C4A">
              <w:t>335(1)</w:t>
            </w:r>
            <w:r w:rsidR="00ED4D38">
              <w:t xml:space="preserve"> change definition to: </w:t>
            </w:r>
            <w:r w:rsidR="00ED4D38" w:rsidRPr="00ED4D38">
              <w:rPr>
                <w:b/>
                <w:bCs/>
              </w:rPr>
              <w:t>Novelty Device</w:t>
            </w:r>
            <w:r w:rsidR="00ED4D38" w:rsidRPr="00ED4D38">
              <w:t xml:space="preserve"> </w:t>
            </w:r>
            <w:r w:rsidR="00A84308">
              <w:t xml:space="preserve">is a device which produces limited visible or audible effects and contains small amounts of pyrotechnic and/or explosive composition but does not fall under the category of consumer fireworks. </w:t>
            </w:r>
          </w:p>
          <w:p w14:paraId="246890BA" w14:textId="1D8BF336" w:rsidR="00813D8D" w:rsidRPr="003823F5" w:rsidRDefault="00813D8D" w:rsidP="00CA75F3"/>
        </w:tc>
        <w:tc>
          <w:tcPr>
            <w:tcW w:w="3828" w:type="dxa"/>
            <w:shd w:val="clear" w:color="auto" w:fill="auto"/>
          </w:tcPr>
          <w:p w14:paraId="5A84FFF8" w14:textId="3B1BFA32" w:rsidR="00D27041" w:rsidRPr="003823F5" w:rsidRDefault="00AB7A9E" w:rsidP="00CA75F3">
            <w:r>
              <w:t>The</w:t>
            </w:r>
            <w:r w:rsidR="00DB25C3">
              <w:t xml:space="preserve"> use of the term </w:t>
            </w:r>
            <w:r>
              <w:t>‘</w:t>
            </w:r>
            <w:r w:rsidR="00DB25C3">
              <w:t>confined spaces</w:t>
            </w:r>
            <w:r>
              <w:t>’</w:t>
            </w:r>
            <w:r w:rsidR="00DB25C3">
              <w:t xml:space="preserve"> could imply that novelty devices are safe for indoor use. The new definition seeks to make clear that novelty devices are a lower risk firework with a different risk profile than other types of commercial fireworks. </w:t>
            </w:r>
          </w:p>
        </w:tc>
        <w:tc>
          <w:tcPr>
            <w:tcW w:w="3827" w:type="dxa"/>
            <w:shd w:val="clear" w:color="auto" w:fill="auto"/>
          </w:tcPr>
          <w:p w14:paraId="59CC2487" w14:textId="77777777" w:rsidR="00D27041" w:rsidRPr="003823F5" w:rsidRDefault="00D27041" w:rsidP="001F6E34"/>
        </w:tc>
      </w:tr>
      <w:tr w:rsidR="00F52E44" w:rsidRPr="003823F5" w14:paraId="4E6C43EA" w14:textId="77777777" w:rsidTr="000B347E">
        <w:tc>
          <w:tcPr>
            <w:tcW w:w="1284" w:type="dxa"/>
          </w:tcPr>
          <w:p w14:paraId="696142D8" w14:textId="73AAFABA" w:rsidR="00F52E44" w:rsidRPr="003823F5" w:rsidRDefault="00405D73" w:rsidP="00E2607E">
            <w:r>
              <w:t># 102</w:t>
            </w:r>
          </w:p>
        </w:tc>
        <w:tc>
          <w:tcPr>
            <w:tcW w:w="3673" w:type="dxa"/>
          </w:tcPr>
          <w:p w14:paraId="41528179" w14:textId="77777777" w:rsidR="00F52E44" w:rsidRDefault="00F52E44" w:rsidP="00F83C4A">
            <w:pPr>
              <w:rPr>
                <w:b/>
                <w:bCs/>
              </w:rPr>
            </w:pPr>
            <w:r>
              <w:rPr>
                <w:b/>
                <w:bCs/>
              </w:rPr>
              <w:t>Maximum quantity</w:t>
            </w:r>
          </w:p>
          <w:p w14:paraId="2AF6F214" w14:textId="0A70115A" w:rsidR="00F52E44" w:rsidRPr="00F52E44" w:rsidRDefault="00F52E44" w:rsidP="00F52E44">
            <w:r w:rsidRPr="00F52E44">
              <w:t>348 (1) No more than 2 000 kg of consumer fireworks or</w:t>
            </w:r>
            <w:r>
              <w:t xml:space="preserve"> </w:t>
            </w:r>
            <w:r w:rsidRPr="00F52E44">
              <w:t>novelty devices may be stored in a sales</w:t>
            </w:r>
            <w:r>
              <w:t xml:space="preserve"> </w:t>
            </w:r>
            <w:r w:rsidRPr="00F52E44">
              <w:t>establishment at</w:t>
            </w:r>
            <w:r>
              <w:t xml:space="preserve"> </w:t>
            </w:r>
            <w:r w:rsidRPr="00F52E44">
              <w:t xml:space="preserve">any one time, including fireworks or novelty devices </w:t>
            </w:r>
            <w:r w:rsidRPr="00F52E44">
              <w:lastRenderedPageBreak/>
              <w:t>that</w:t>
            </w:r>
            <w:r>
              <w:t xml:space="preserve"> </w:t>
            </w:r>
            <w:r w:rsidRPr="00F52E44">
              <w:t>are displayed for sale, and at least 1 000 kg of the 2 000 kg</w:t>
            </w:r>
            <w:r>
              <w:t xml:space="preserve"> </w:t>
            </w:r>
            <w:r w:rsidRPr="00F52E44">
              <w:t>must be stored in original packaging or containers. If the</w:t>
            </w:r>
            <w:r>
              <w:t xml:space="preserve"> </w:t>
            </w:r>
            <w:r w:rsidRPr="00F52E44">
              <w:t xml:space="preserve">sales establishment </w:t>
            </w:r>
            <w:proofErr w:type="gramStart"/>
            <w:r w:rsidRPr="00F52E44">
              <w:t>is located in</w:t>
            </w:r>
            <w:proofErr w:type="gramEnd"/>
            <w:r w:rsidRPr="00F52E44">
              <w:t xml:space="preserve"> a building that contains</w:t>
            </w:r>
          </w:p>
          <w:p w14:paraId="22360EFF" w14:textId="6F7D980D" w:rsidR="00F52E44" w:rsidRPr="00F52E44" w:rsidRDefault="00F52E44" w:rsidP="00F52E44">
            <w:r w:rsidRPr="00F52E44">
              <w:t>a dwelling, no more than 100 kg of consumer fireworks or</w:t>
            </w:r>
            <w:r>
              <w:t xml:space="preserve"> </w:t>
            </w:r>
            <w:r w:rsidRPr="00F52E44">
              <w:t>novelty devices may be stored at any one time, including</w:t>
            </w:r>
            <w:r w:rsidR="000F5FE7">
              <w:t xml:space="preserve"> </w:t>
            </w:r>
            <w:r w:rsidRPr="00F52E44">
              <w:t xml:space="preserve">consumer fireworks or novelty devices that are </w:t>
            </w:r>
            <w:proofErr w:type="gramStart"/>
            <w:r w:rsidRPr="00F52E44">
              <w:t>displayed</w:t>
            </w:r>
            <w:proofErr w:type="gramEnd"/>
          </w:p>
          <w:p w14:paraId="534E3D79" w14:textId="0EEA0A02" w:rsidR="00F52E44" w:rsidRPr="00327CD2" w:rsidRDefault="00F52E44" w:rsidP="00F52E44">
            <w:pPr>
              <w:rPr>
                <w:b/>
                <w:bCs/>
              </w:rPr>
            </w:pPr>
            <w:r w:rsidRPr="00F52E44">
              <w:t>for sale.</w:t>
            </w:r>
          </w:p>
        </w:tc>
        <w:tc>
          <w:tcPr>
            <w:tcW w:w="3543" w:type="dxa"/>
          </w:tcPr>
          <w:p w14:paraId="7B991F19" w14:textId="355ABA00" w:rsidR="00F52E44" w:rsidRPr="003823F5" w:rsidRDefault="00F52E44" w:rsidP="00F83C4A">
            <w:r>
              <w:lastRenderedPageBreak/>
              <w:t>Amend 348(1) so that no more than 1000 kg of consumer fireworks or novelty devices may be stored in a sales establishment at one time</w:t>
            </w:r>
            <w:r w:rsidR="00AF09FD">
              <w:t>, without a licence.</w:t>
            </w:r>
            <w:r w:rsidR="000F5FE7">
              <w:t xml:space="preserve"> </w:t>
            </w:r>
          </w:p>
        </w:tc>
        <w:tc>
          <w:tcPr>
            <w:tcW w:w="3828" w:type="dxa"/>
          </w:tcPr>
          <w:p w14:paraId="1EEE6288" w14:textId="7AAD7F05" w:rsidR="005A41DC" w:rsidRDefault="005A41DC" w:rsidP="00CA75F3">
            <w:r>
              <w:t>The proposed increase in storage does not align with the current context</w:t>
            </w:r>
            <w:r w:rsidR="00672782">
              <w:t xml:space="preserve"> </w:t>
            </w:r>
            <w:r>
              <w:t>in which</w:t>
            </w:r>
            <w:r w:rsidR="00672782">
              <w:t xml:space="preserve"> </w:t>
            </w:r>
            <w:r w:rsidR="004F7974">
              <w:t xml:space="preserve">local </w:t>
            </w:r>
            <w:r>
              <w:t xml:space="preserve">jurisdictions are increasingly </w:t>
            </w:r>
            <w:r w:rsidR="004F7974">
              <w:t xml:space="preserve">restricting the use and sale of fireworks. </w:t>
            </w:r>
          </w:p>
          <w:p w14:paraId="3C4B019C" w14:textId="6CEECEA3" w:rsidR="00F52E44" w:rsidRDefault="004F7974" w:rsidP="00CA75F3">
            <w:r>
              <w:t xml:space="preserve">Additionally, public input </w:t>
            </w:r>
            <w:r w:rsidR="00AB7A9E">
              <w:t xml:space="preserve">(and petitions) </w:t>
            </w:r>
            <w:r w:rsidR="005A41DC">
              <w:t xml:space="preserve">proposed increasing restrictions on </w:t>
            </w:r>
            <w:r w:rsidR="005A41DC">
              <w:lastRenderedPageBreak/>
              <w:t>consumer fireworks sales due to concerns about</w:t>
            </w:r>
            <w:r w:rsidR="000B0844">
              <w:t xml:space="preserve"> the dangers of fireworks </w:t>
            </w:r>
            <w:r w:rsidR="00AB7A9E">
              <w:t>and the risk that misuse of fireworks pose</w:t>
            </w:r>
            <w:r w:rsidR="005A41DC">
              <w:t xml:space="preserve">. Further concerns in the context of the </w:t>
            </w:r>
            <w:r w:rsidR="000B0844">
              <w:t xml:space="preserve">unprecedented wildfires this summer have precipitated changes to this proposed amendment. </w:t>
            </w:r>
          </w:p>
        </w:tc>
        <w:tc>
          <w:tcPr>
            <w:tcW w:w="3827" w:type="dxa"/>
          </w:tcPr>
          <w:p w14:paraId="24899D82" w14:textId="6842BBB9" w:rsidR="0061253A" w:rsidRPr="0061253A" w:rsidRDefault="006853AE" w:rsidP="001F6E34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 </w:t>
            </w:r>
          </w:p>
        </w:tc>
      </w:tr>
      <w:tr w:rsidR="00813D8D" w:rsidRPr="003823F5" w14:paraId="4D32AC94" w14:textId="77777777" w:rsidTr="000B347E">
        <w:tc>
          <w:tcPr>
            <w:tcW w:w="1284" w:type="dxa"/>
          </w:tcPr>
          <w:p w14:paraId="22B9021A" w14:textId="3F85A467" w:rsidR="00813D8D" w:rsidRPr="003823F5" w:rsidRDefault="002F334E" w:rsidP="002F334E">
            <w:r>
              <w:t># 108</w:t>
            </w:r>
          </w:p>
        </w:tc>
        <w:tc>
          <w:tcPr>
            <w:tcW w:w="3673" w:type="dxa"/>
          </w:tcPr>
          <w:p w14:paraId="343603A6" w14:textId="77777777" w:rsidR="00100F8A" w:rsidRDefault="000F5FE7" w:rsidP="00100F8A">
            <w:r>
              <w:t>Maximum quantity – storage unit</w:t>
            </w:r>
          </w:p>
          <w:p w14:paraId="672D5B9D" w14:textId="77777777" w:rsidR="00CD035F" w:rsidRDefault="000F5FE7" w:rsidP="00CD035F">
            <w:r>
              <w:t>356 (2)</w:t>
            </w:r>
            <w:r w:rsidR="00CD035F">
              <w:t xml:space="preserve"> The maximum quantity of consumer fireworks or</w:t>
            </w:r>
          </w:p>
          <w:p w14:paraId="52207C29" w14:textId="77777777" w:rsidR="00CD035F" w:rsidRDefault="00CD035F" w:rsidP="00CD035F">
            <w:r>
              <w:t>novelty devices that may be stored at any one time in</w:t>
            </w:r>
          </w:p>
          <w:p w14:paraId="412099D1" w14:textId="1D430F75" w:rsidR="00CD035F" w:rsidRDefault="00CD035F" w:rsidP="00CD035F">
            <w:r>
              <w:t>storage units, whether in a single unit or in several, is as follows:</w:t>
            </w:r>
          </w:p>
          <w:p w14:paraId="1AB9CC3B" w14:textId="77777777" w:rsidR="00CD035F" w:rsidRDefault="00CD035F" w:rsidP="00CD035F">
            <w:r>
              <w:t xml:space="preserve">(a) 1 000 kg of consumer </w:t>
            </w:r>
            <w:proofErr w:type="gramStart"/>
            <w:r>
              <w:t>fireworks;</w:t>
            </w:r>
            <w:proofErr w:type="gramEnd"/>
          </w:p>
          <w:p w14:paraId="64DCBD16" w14:textId="77777777" w:rsidR="00CD035F" w:rsidRDefault="00CD035F" w:rsidP="00CD035F">
            <w:r>
              <w:t>(b) 2 000 kg of novelty devices; or</w:t>
            </w:r>
          </w:p>
          <w:p w14:paraId="048F0E75" w14:textId="1E78C70E" w:rsidR="00CD035F" w:rsidRDefault="00CD035F" w:rsidP="00CD035F">
            <w:r>
              <w:t>(c) 2 000 kg of consumer fireworks and novelty devices combined, of which no more than 1 000 kg may</w:t>
            </w:r>
          </w:p>
          <w:p w14:paraId="2E9259AA" w14:textId="7F2A422B" w:rsidR="000F5FE7" w:rsidRPr="00100F8A" w:rsidRDefault="00CD035F" w:rsidP="00CD035F">
            <w:r>
              <w:t>be consumer fireworks.</w:t>
            </w:r>
          </w:p>
        </w:tc>
        <w:tc>
          <w:tcPr>
            <w:tcW w:w="3543" w:type="dxa"/>
          </w:tcPr>
          <w:p w14:paraId="3F86ADC4" w14:textId="50CD3F0D" w:rsidR="00813D8D" w:rsidRPr="003823F5" w:rsidRDefault="00CD035F" w:rsidP="000F5FE7">
            <w:r>
              <w:t xml:space="preserve">Amend 356(2) so the maximum quantity of consumer fireworks or novelty devices that may be stored in </w:t>
            </w:r>
            <w:proofErr w:type="gramStart"/>
            <w:r>
              <w:t>a</w:t>
            </w:r>
            <w:r w:rsidR="000C2A4A">
              <w:t>n,</w:t>
            </w:r>
            <w:proofErr w:type="gramEnd"/>
            <w:r w:rsidR="000C2A4A">
              <w:t xml:space="preserve"> unlicensed</w:t>
            </w:r>
            <w:r>
              <w:t xml:space="preserve"> storage unit at one time is 1000 kg combined.</w:t>
            </w:r>
          </w:p>
        </w:tc>
        <w:tc>
          <w:tcPr>
            <w:tcW w:w="3828" w:type="dxa"/>
          </w:tcPr>
          <w:p w14:paraId="2CC51E55" w14:textId="5FFAD976" w:rsidR="00813D8D" w:rsidRPr="003823F5" w:rsidRDefault="00B97262" w:rsidP="00CA75F3">
            <w:r>
              <w:t>Same as above</w:t>
            </w:r>
          </w:p>
        </w:tc>
        <w:tc>
          <w:tcPr>
            <w:tcW w:w="3827" w:type="dxa"/>
          </w:tcPr>
          <w:p w14:paraId="21296C76" w14:textId="77777777" w:rsidR="00813D8D" w:rsidRPr="003823F5" w:rsidRDefault="00813D8D" w:rsidP="001F6E34"/>
        </w:tc>
      </w:tr>
      <w:tr w:rsidR="00A92AF4" w:rsidRPr="003823F5" w14:paraId="51F3CA82" w14:textId="77777777" w:rsidTr="000B347E">
        <w:tc>
          <w:tcPr>
            <w:tcW w:w="1284" w:type="dxa"/>
          </w:tcPr>
          <w:p w14:paraId="28FB181A" w14:textId="1BF8C81D" w:rsidR="00A92AF4" w:rsidRPr="003823F5" w:rsidRDefault="003D3A04" w:rsidP="003D3A04">
            <w:pPr>
              <w:pStyle w:val="ListParagraph"/>
              <w:ind w:left="0"/>
              <w:jc w:val="both"/>
            </w:pPr>
            <w:r>
              <w:t># 141</w:t>
            </w:r>
          </w:p>
        </w:tc>
        <w:tc>
          <w:tcPr>
            <w:tcW w:w="3673" w:type="dxa"/>
          </w:tcPr>
          <w:p w14:paraId="6B4ACF72" w14:textId="77777777" w:rsidR="000E14F9" w:rsidRPr="003D3A04" w:rsidRDefault="003D3A04" w:rsidP="00011984">
            <w:pPr>
              <w:rPr>
                <w:b/>
              </w:rPr>
            </w:pPr>
            <w:r w:rsidRPr="003D3A04">
              <w:rPr>
                <w:b/>
              </w:rPr>
              <w:t>Annual Inventory</w:t>
            </w:r>
          </w:p>
          <w:p w14:paraId="43D869B9" w14:textId="03075AD0" w:rsidR="003D3A04" w:rsidRPr="000E14F9" w:rsidRDefault="003D3A04" w:rsidP="003D3A04">
            <w:pPr>
              <w:rPr>
                <w:bCs/>
              </w:rPr>
            </w:pPr>
            <w:r w:rsidRPr="003D3A04">
              <w:rPr>
                <w:bCs/>
              </w:rPr>
              <w:t xml:space="preserve">479 For each calendar year, an inventory must be </w:t>
            </w:r>
            <w:proofErr w:type="gramStart"/>
            <w:r w:rsidRPr="003D3A04">
              <w:rPr>
                <w:bCs/>
              </w:rPr>
              <w:t>made</w:t>
            </w:r>
            <w:proofErr w:type="gramEnd"/>
            <w:r>
              <w:rPr>
                <w:bCs/>
              </w:rPr>
              <w:t xml:space="preserve"> </w:t>
            </w:r>
            <w:r w:rsidRPr="003D3A04">
              <w:rPr>
                <w:bCs/>
              </w:rPr>
              <w:t>and a record of the following information kept for two</w:t>
            </w:r>
            <w:r>
              <w:rPr>
                <w:bCs/>
              </w:rPr>
              <w:t xml:space="preserve"> </w:t>
            </w:r>
            <w:r w:rsidRPr="003D3A04">
              <w:rPr>
                <w:bCs/>
              </w:rPr>
              <w:t>years:</w:t>
            </w:r>
          </w:p>
        </w:tc>
        <w:tc>
          <w:tcPr>
            <w:tcW w:w="3543" w:type="dxa"/>
          </w:tcPr>
          <w:p w14:paraId="3CB20F21" w14:textId="2C222182" w:rsidR="00A92AF4" w:rsidRDefault="000E14F9" w:rsidP="000E14F9">
            <w:r>
              <w:t xml:space="preserve"> </w:t>
            </w:r>
            <w:r w:rsidR="003D3A04">
              <w:t xml:space="preserve">Amend previous proposed regulation to number </w:t>
            </w:r>
            <w:proofErr w:type="gramStart"/>
            <w:r w:rsidR="003D3A04">
              <w:t>487</w:t>
            </w:r>
            <w:proofErr w:type="gramEnd"/>
          </w:p>
          <w:p w14:paraId="6AA58598" w14:textId="77777777" w:rsidR="000E14F9" w:rsidRPr="006B4645" w:rsidRDefault="003D3A04" w:rsidP="000E14F9">
            <w:pPr>
              <w:rPr>
                <w:b/>
                <w:bCs/>
              </w:rPr>
            </w:pPr>
            <w:r w:rsidRPr="006B4645">
              <w:rPr>
                <w:b/>
                <w:bCs/>
              </w:rPr>
              <w:t>Annual Inventory</w:t>
            </w:r>
          </w:p>
          <w:p w14:paraId="605CB499" w14:textId="67214A28" w:rsidR="003D3A04" w:rsidRPr="003823F5" w:rsidRDefault="003D3A04" w:rsidP="003D3A04">
            <w:r>
              <w:t xml:space="preserve">487 For each calendar year, an inventory must be </w:t>
            </w:r>
            <w:proofErr w:type="gramStart"/>
            <w:r>
              <w:t>made</w:t>
            </w:r>
            <w:proofErr w:type="gramEnd"/>
            <w:r>
              <w:t xml:space="preserve"> and a </w:t>
            </w:r>
            <w:r>
              <w:lastRenderedPageBreak/>
              <w:t>record of the following information kept for two years:</w:t>
            </w:r>
          </w:p>
        </w:tc>
        <w:tc>
          <w:tcPr>
            <w:tcW w:w="3828" w:type="dxa"/>
          </w:tcPr>
          <w:p w14:paraId="5F893BFB" w14:textId="785DB203" w:rsidR="00A92AF4" w:rsidRPr="003823F5" w:rsidRDefault="00016945" w:rsidP="00011984">
            <w:r>
              <w:lastRenderedPageBreak/>
              <w:t xml:space="preserve">Proposed change previously referred to section 479 Authorized Location </w:t>
            </w:r>
            <w:r w:rsidR="00B97262">
              <w:t>rather than the annual inventory.</w:t>
            </w:r>
            <w:r>
              <w:t xml:space="preserve"> </w:t>
            </w:r>
          </w:p>
        </w:tc>
        <w:tc>
          <w:tcPr>
            <w:tcW w:w="3827" w:type="dxa"/>
          </w:tcPr>
          <w:p w14:paraId="2ECEE354" w14:textId="77777777" w:rsidR="00A92AF4" w:rsidRPr="003823F5" w:rsidRDefault="00A92AF4" w:rsidP="00A92AF4"/>
        </w:tc>
      </w:tr>
    </w:tbl>
    <w:p w14:paraId="253DE9A8" w14:textId="77777777" w:rsidR="00D335B4" w:rsidRDefault="00D335B4" w:rsidP="005A6A41">
      <w:pPr>
        <w:spacing w:after="0" w:line="240" w:lineRule="auto"/>
      </w:pPr>
    </w:p>
    <w:sectPr w:rsidR="00D335B4" w:rsidSect="00D27041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B66B" w14:textId="77777777" w:rsidR="00A54DAC" w:rsidRDefault="00A54DAC" w:rsidP="00ED04F6">
      <w:pPr>
        <w:spacing w:after="0" w:line="240" w:lineRule="auto"/>
      </w:pPr>
      <w:r>
        <w:separator/>
      </w:r>
    </w:p>
  </w:endnote>
  <w:endnote w:type="continuationSeparator" w:id="0">
    <w:p w14:paraId="5D6FAAEE" w14:textId="77777777" w:rsidR="00A54DAC" w:rsidRDefault="00A54DAC" w:rsidP="00ED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69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FF45D" w14:textId="56B94DA3" w:rsidR="005755F0" w:rsidRDefault="00575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A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46BF3AF" w14:textId="77777777" w:rsidR="005755F0" w:rsidRDefault="00575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C244" w14:textId="77777777" w:rsidR="00A54DAC" w:rsidRDefault="00A54DAC" w:rsidP="00ED04F6">
      <w:pPr>
        <w:spacing w:after="0" w:line="240" w:lineRule="auto"/>
      </w:pPr>
      <w:r>
        <w:separator/>
      </w:r>
    </w:p>
  </w:footnote>
  <w:footnote w:type="continuationSeparator" w:id="0">
    <w:p w14:paraId="65791778" w14:textId="77777777" w:rsidR="00A54DAC" w:rsidRDefault="00A54DAC" w:rsidP="00ED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9384" w14:textId="433E84C4" w:rsidR="00AF5ADA" w:rsidRDefault="00AF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82207" wp14:editId="1053B9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5A703" w14:textId="0D14D670" w:rsidR="00AF5ADA" w:rsidRPr="00AF5ADA" w:rsidRDefault="00AF5ADA" w:rsidP="00AF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822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AF5A703" w14:textId="0D14D670" w:rsidR="00AF5ADA" w:rsidRPr="00AF5ADA" w:rsidRDefault="00AF5ADA" w:rsidP="00AF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5A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83CC" w14:textId="5207312D" w:rsidR="00AF5ADA" w:rsidRDefault="00AF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F67BF6" wp14:editId="7DF2D8FC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 Box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FB2EC" w14:textId="7DBFCED6" w:rsidR="00AF5ADA" w:rsidRPr="00AF5ADA" w:rsidRDefault="00AF5ADA" w:rsidP="00AF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67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 CLASSIFI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33FB2EC" w14:textId="7DBFCED6" w:rsidR="00AF5ADA" w:rsidRPr="00AF5ADA" w:rsidRDefault="00AF5ADA" w:rsidP="00AF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5A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A630" w14:textId="751FE55D" w:rsidR="00AF5ADA" w:rsidRDefault="00AF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AF209C" wp14:editId="70B6D5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4CB4E" w14:textId="342873CF" w:rsidR="00AF5ADA" w:rsidRPr="00AF5ADA" w:rsidRDefault="00AF5ADA" w:rsidP="00AF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F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F2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2F4CB4E" w14:textId="342873CF" w:rsidR="00AF5ADA" w:rsidRPr="00AF5ADA" w:rsidRDefault="00AF5ADA" w:rsidP="00AF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F5A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B4"/>
    <w:rsid w:val="00000D70"/>
    <w:rsid w:val="000029E5"/>
    <w:rsid w:val="00003A35"/>
    <w:rsid w:val="00003B43"/>
    <w:rsid w:val="00011487"/>
    <w:rsid w:val="00011984"/>
    <w:rsid w:val="00012CA8"/>
    <w:rsid w:val="000167EA"/>
    <w:rsid w:val="00016945"/>
    <w:rsid w:val="00020043"/>
    <w:rsid w:val="000209E3"/>
    <w:rsid w:val="00025628"/>
    <w:rsid w:val="0002791C"/>
    <w:rsid w:val="0003262D"/>
    <w:rsid w:val="0004085B"/>
    <w:rsid w:val="00042CBD"/>
    <w:rsid w:val="00053BAC"/>
    <w:rsid w:val="00060DB7"/>
    <w:rsid w:val="00060ED1"/>
    <w:rsid w:val="0006212B"/>
    <w:rsid w:val="00062295"/>
    <w:rsid w:val="00062EDB"/>
    <w:rsid w:val="00064FEE"/>
    <w:rsid w:val="000728AD"/>
    <w:rsid w:val="00074017"/>
    <w:rsid w:val="0007450A"/>
    <w:rsid w:val="00076258"/>
    <w:rsid w:val="000764AD"/>
    <w:rsid w:val="000808BF"/>
    <w:rsid w:val="00080F5D"/>
    <w:rsid w:val="00081630"/>
    <w:rsid w:val="00085FF8"/>
    <w:rsid w:val="0009133C"/>
    <w:rsid w:val="00091342"/>
    <w:rsid w:val="00094AFC"/>
    <w:rsid w:val="00094B1E"/>
    <w:rsid w:val="00095206"/>
    <w:rsid w:val="00095EF0"/>
    <w:rsid w:val="00096CCE"/>
    <w:rsid w:val="00097061"/>
    <w:rsid w:val="00097F74"/>
    <w:rsid w:val="000A1B19"/>
    <w:rsid w:val="000A26CE"/>
    <w:rsid w:val="000A2E75"/>
    <w:rsid w:val="000A36F0"/>
    <w:rsid w:val="000A4658"/>
    <w:rsid w:val="000B0844"/>
    <w:rsid w:val="000B0EA3"/>
    <w:rsid w:val="000B3251"/>
    <w:rsid w:val="000B347E"/>
    <w:rsid w:val="000B78BE"/>
    <w:rsid w:val="000C0514"/>
    <w:rsid w:val="000C2A4A"/>
    <w:rsid w:val="000C493B"/>
    <w:rsid w:val="000C7FD7"/>
    <w:rsid w:val="000D0CAF"/>
    <w:rsid w:val="000D75E5"/>
    <w:rsid w:val="000D791C"/>
    <w:rsid w:val="000E001B"/>
    <w:rsid w:val="000E1228"/>
    <w:rsid w:val="000E1454"/>
    <w:rsid w:val="000E14F9"/>
    <w:rsid w:val="000E17D6"/>
    <w:rsid w:val="000F0733"/>
    <w:rsid w:val="000F496F"/>
    <w:rsid w:val="000F5083"/>
    <w:rsid w:val="000F5FE7"/>
    <w:rsid w:val="000F6692"/>
    <w:rsid w:val="001008C9"/>
    <w:rsid w:val="00100F8A"/>
    <w:rsid w:val="00101226"/>
    <w:rsid w:val="0010129B"/>
    <w:rsid w:val="00101449"/>
    <w:rsid w:val="00101A74"/>
    <w:rsid w:val="00102BC7"/>
    <w:rsid w:val="001032EB"/>
    <w:rsid w:val="00105B45"/>
    <w:rsid w:val="00116882"/>
    <w:rsid w:val="00122A06"/>
    <w:rsid w:val="001307D7"/>
    <w:rsid w:val="0013275E"/>
    <w:rsid w:val="001346F9"/>
    <w:rsid w:val="00134CFE"/>
    <w:rsid w:val="001361A7"/>
    <w:rsid w:val="00140F6F"/>
    <w:rsid w:val="00141CAF"/>
    <w:rsid w:val="00142F70"/>
    <w:rsid w:val="001433D9"/>
    <w:rsid w:val="00143723"/>
    <w:rsid w:val="0014415F"/>
    <w:rsid w:val="00150085"/>
    <w:rsid w:val="0015065F"/>
    <w:rsid w:val="00150B99"/>
    <w:rsid w:val="00152CCA"/>
    <w:rsid w:val="00153D12"/>
    <w:rsid w:val="001557F5"/>
    <w:rsid w:val="00156885"/>
    <w:rsid w:val="0016227F"/>
    <w:rsid w:val="001670ED"/>
    <w:rsid w:val="00170049"/>
    <w:rsid w:val="001719C6"/>
    <w:rsid w:val="001747AB"/>
    <w:rsid w:val="0017484E"/>
    <w:rsid w:val="00174FBD"/>
    <w:rsid w:val="001829A9"/>
    <w:rsid w:val="00183454"/>
    <w:rsid w:val="0018351E"/>
    <w:rsid w:val="00184D11"/>
    <w:rsid w:val="001861FE"/>
    <w:rsid w:val="00190C8C"/>
    <w:rsid w:val="00191C06"/>
    <w:rsid w:val="001947F1"/>
    <w:rsid w:val="00195536"/>
    <w:rsid w:val="00196095"/>
    <w:rsid w:val="00196E1F"/>
    <w:rsid w:val="001A249C"/>
    <w:rsid w:val="001A5236"/>
    <w:rsid w:val="001B0A81"/>
    <w:rsid w:val="001B3882"/>
    <w:rsid w:val="001B6599"/>
    <w:rsid w:val="001B67D1"/>
    <w:rsid w:val="001C12AC"/>
    <w:rsid w:val="001C21E1"/>
    <w:rsid w:val="001C723D"/>
    <w:rsid w:val="001E0BCB"/>
    <w:rsid w:val="001E1266"/>
    <w:rsid w:val="001E2394"/>
    <w:rsid w:val="001E42CD"/>
    <w:rsid w:val="001F0A6C"/>
    <w:rsid w:val="001F1B94"/>
    <w:rsid w:val="001F237B"/>
    <w:rsid w:val="001F30A0"/>
    <w:rsid w:val="001F364E"/>
    <w:rsid w:val="001F3894"/>
    <w:rsid w:val="001F434F"/>
    <w:rsid w:val="001F6657"/>
    <w:rsid w:val="001F6E34"/>
    <w:rsid w:val="001F7309"/>
    <w:rsid w:val="00203653"/>
    <w:rsid w:val="002037C4"/>
    <w:rsid w:val="0020533E"/>
    <w:rsid w:val="00206D78"/>
    <w:rsid w:val="00210908"/>
    <w:rsid w:val="00211DD9"/>
    <w:rsid w:val="00214F56"/>
    <w:rsid w:val="00215D18"/>
    <w:rsid w:val="0022260A"/>
    <w:rsid w:val="002249D8"/>
    <w:rsid w:val="0022601D"/>
    <w:rsid w:val="00231D26"/>
    <w:rsid w:val="00232655"/>
    <w:rsid w:val="00232C12"/>
    <w:rsid w:val="002341E1"/>
    <w:rsid w:val="002371D4"/>
    <w:rsid w:val="00241A68"/>
    <w:rsid w:val="00246D82"/>
    <w:rsid w:val="0024798F"/>
    <w:rsid w:val="00260C79"/>
    <w:rsid w:val="00270762"/>
    <w:rsid w:val="002709C6"/>
    <w:rsid w:val="002715B8"/>
    <w:rsid w:val="00272802"/>
    <w:rsid w:val="00280008"/>
    <w:rsid w:val="00282174"/>
    <w:rsid w:val="00284523"/>
    <w:rsid w:val="00287602"/>
    <w:rsid w:val="0029219D"/>
    <w:rsid w:val="0029270D"/>
    <w:rsid w:val="002940B0"/>
    <w:rsid w:val="0029418E"/>
    <w:rsid w:val="00294AF5"/>
    <w:rsid w:val="00295335"/>
    <w:rsid w:val="002A05F9"/>
    <w:rsid w:val="002A45C4"/>
    <w:rsid w:val="002A5A35"/>
    <w:rsid w:val="002A7B03"/>
    <w:rsid w:val="002B077D"/>
    <w:rsid w:val="002B10C7"/>
    <w:rsid w:val="002B1953"/>
    <w:rsid w:val="002B28EF"/>
    <w:rsid w:val="002B2FA8"/>
    <w:rsid w:val="002B3DD0"/>
    <w:rsid w:val="002C2930"/>
    <w:rsid w:val="002C33A5"/>
    <w:rsid w:val="002C4EAB"/>
    <w:rsid w:val="002D2A0C"/>
    <w:rsid w:val="002D3AFE"/>
    <w:rsid w:val="002D56E4"/>
    <w:rsid w:val="002D5981"/>
    <w:rsid w:val="002D5CF8"/>
    <w:rsid w:val="002D600C"/>
    <w:rsid w:val="002D7BE7"/>
    <w:rsid w:val="002D7EB5"/>
    <w:rsid w:val="002E001D"/>
    <w:rsid w:val="002E121A"/>
    <w:rsid w:val="002E1B58"/>
    <w:rsid w:val="002E6974"/>
    <w:rsid w:val="002E6F1D"/>
    <w:rsid w:val="002F334E"/>
    <w:rsid w:val="002F640F"/>
    <w:rsid w:val="002F7AB3"/>
    <w:rsid w:val="0030049F"/>
    <w:rsid w:val="00306D4B"/>
    <w:rsid w:val="00307356"/>
    <w:rsid w:val="00310219"/>
    <w:rsid w:val="003148F9"/>
    <w:rsid w:val="0031701C"/>
    <w:rsid w:val="0031729C"/>
    <w:rsid w:val="00322569"/>
    <w:rsid w:val="00324E76"/>
    <w:rsid w:val="00325FB5"/>
    <w:rsid w:val="003265C9"/>
    <w:rsid w:val="00327614"/>
    <w:rsid w:val="00327CD2"/>
    <w:rsid w:val="0033217E"/>
    <w:rsid w:val="0034085A"/>
    <w:rsid w:val="00340C74"/>
    <w:rsid w:val="00345D4D"/>
    <w:rsid w:val="003507EE"/>
    <w:rsid w:val="00350B0E"/>
    <w:rsid w:val="00353306"/>
    <w:rsid w:val="003549C9"/>
    <w:rsid w:val="0036596B"/>
    <w:rsid w:val="00366DC4"/>
    <w:rsid w:val="003708EF"/>
    <w:rsid w:val="00371AE5"/>
    <w:rsid w:val="0037287B"/>
    <w:rsid w:val="003729EA"/>
    <w:rsid w:val="00372C7E"/>
    <w:rsid w:val="00374485"/>
    <w:rsid w:val="00376C78"/>
    <w:rsid w:val="00377CA6"/>
    <w:rsid w:val="0038238A"/>
    <w:rsid w:val="003823F5"/>
    <w:rsid w:val="0038319A"/>
    <w:rsid w:val="00384A02"/>
    <w:rsid w:val="00385812"/>
    <w:rsid w:val="003860B5"/>
    <w:rsid w:val="00386186"/>
    <w:rsid w:val="00392F6D"/>
    <w:rsid w:val="00395995"/>
    <w:rsid w:val="00396D46"/>
    <w:rsid w:val="00397309"/>
    <w:rsid w:val="003A4C15"/>
    <w:rsid w:val="003A7E0B"/>
    <w:rsid w:val="003B05C0"/>
    <w:rsid w:val="003B2E22"/>
    <w:rsid w:val="003B57A8"/>
    <w:rsid w:val="003C1C70"/>
    <w:rsid w:val="003C300F"/>
    <w:rsid w:val="003C31DC"/>
    <w:rsid w:val="003C4783"/>
    <w:rsid w:val="003C5303"/>
    <w:rsid w:val="003D0AF3"/>
    <w:rsid w:val="003D2006"/>
    <w:rsid w:val="003D3A04"/>
    <w:rsid w:val="003D6941"/>
    <w:rsid w:val="003D7D74"/>
    <w:rsid w:val="003D7F36"/>
    <w:rsid w:val="003E4976"/>
    <w:rsid w:val="003E6DBE"/>
    <w:rsid w:val="003E7CF6"/>
    <w:rsid w:val="003F201C"/>
    <w:rsid w:val="00401583"/>
    <w:rsid w:val="00402BB7"/>
    <w:rsid w:val="00403EB9"/>
    <w:rsid w:val="0040488B"/>
    <w:rsid w:val="00405C4A"/>
    <w:rsid w:val="00405D73"/>
    <w:rsid w:val="00413647"/>
    <w:rsid w:val="00425D7F"/>
    <w:rsid w:val="00426D41"/>
    <w:rsid w:val="00430831"/>
    <w:rsid w:val="004340DE"/>
    <w:rsid w:val="00437254"/>
    <w:rsid w:val="00437DF8"/>
    <w:rsid w:val="00442414"/>
    <w:rsid w:val="004453B1"/>
    <w:rsid w:val="0045221B"/>
    <w:rsid w:val="00455508"/>
    <w:rsid w:val="004561B6"/>
    <w:rsid w:val="00456BEB"/>
    <w:rsid w:val="00456E5A"/>
    <w:rsid w:val="00457A98"/>
    <w:rsid w:val="004630CE"/>
    <w:rsid w:val="004637DE"/>
    <w:rsid w:val="00464ED8"/>
    <w:rsid w:val="00467641"/>
    <w:rsid w:val="00470AB8"/>
    <w:rsid w:val="00475695"/>
    <w:rsid w:val="0047606C"/>
    <w:rsid w:val="00476981"/>
    <w:rsid w:val="00476F95"/>
    <w:rsid w:val="004806D7"/>
    <w:rsid w:val="00481070"/>
    <w:rsid w:val="00481BBB"/>
    <w:rsid w:val="00485D14"/>
    <w:rsid w:val="004865BA"/>
    <w:rsid w:val="00495CAD"/>
    <w:rsid w:val="00496280"/>
    <w:rsid w:val="00497C57"/>
    <w:rsid w:val="004A22C0"/>
    <w:rsid w:val="004A3C23"/>
    <w:rsid w:val="004A63AE"/>
    <w:rsid w:val="004B1BBA"/>
    <w:rsid w:val="004B5D3E"/>
    <w:rsid w:val="004B5E73"/>
    <w:rsid w:val="004B739C"/>
    <w:rsid w:val="004C39CD"/>
    <w:rsid w:val="004C5438"/>
    <w:rsid w:val="004C75B8"/>
    <w:rsid w:val="004D1D07"/>
    <w:rsid w:val="004D2E0E"/>
    <w:rsid w:val="004D7E21"/>
    <w:rsid w:val="004E02BB"/>
    <w:rsid w:val="004E2B69"/>
    <w:rsid w:val="004E42B2"/>
    <w:rsid w:val="004E445E"/>
    <w:rsid w:val="004E6878"/>
    <w:rsid w:val="004E75D6"/>
    <w:rsid w:val="004F0462"/>
    <w:rsid w:val="004F347D"/>
    <w:rsid w:val="004F6DB9"/>
    <w:rsid w:val="004F7974"/>
    <w:rsid w:val="005013DF"/>
    <w:rsid w:val="0050208E"/>
    <w:rsid w:val="0050257F"/>
    <w:rsid w:val="005041D9"/>
    <w:rsid w:val="00504B38"/>
    <w:rsid w:val="00505D3C"/>
    <w:rsid w:val="005070EB"/>
    <w:rsid w:val="00511BC4"/>
    <w:rsid w:val="00511C07"/>
    <w:rsid w:val="00512012"/>
    <w:rsid w:val="0051286D"/>
    <w:rsid w:val="00515230"/>
    <w:rsid w:val="00515C5D"/>
    <w:rsid w:val="005165E1"/>
    <w:rsid w:val="005177D5"/>
    <w:rsid w:val="00517D0F"/>
    <w:rsid w:val="00521B18"/>
    <w:rsid w:val="00522B4A"/>
    <w:rsid w:val="00525762"/>
    <w:rsid w:val="0053178E"/>
    <w:rsid w:val="00534A75"/>
    <w:rsid w:val="00534F4C"/>
    <w:rsid w:val="00534F4D"/>
    <w:rsid w:val="005362E9"/>
    <w:rsid w:val="00540E8C"/>
    <w:rsid w:val="00541E6A"/>
    <w:rsid w:val="00543D85"/>
    <w:rsid w:val="00544A80"/>
    <w:rsid w:val="00544DCF"/>
    <w:rsid w:val="00545BF6"/>
    <w:rsid w:val="005463DB"/>
    <w:rsid w:val="00547274"/>
    <w:rsid w:val="00550428"/>
    <w:rsid w:val="0055440C"/>
    <w:rsid w:val="00555A68"/>
    <w:rsid w:val="00555D13"/>
    <w:rsid w:val="00556D19"/>
    <w:rsid w:val="00566D0C"/>
    <w:rsid w:val="0057007E"/>
    <w:rsid w:val="00572734"/>
    <w:rsid w:val="00573448"/>
    <w:rsid w:val="005751AF"/>
    <w:rsid w:val="005755F0"/>
    <w:rsid w:val="00576752"/>
    <w:rsid w:val="005779C1"/>
    <w:rsid w:val="0058317E"/>
    <w:rsid w:val="00590777"/>
    <w:rsid w:val="00591359"/>
    <w:rsid w:val="005939AA"/>
    <w:rsid w:val="00594940"/>
    <w:rsid w:val="005A00A6"/>
    <w:rsid w:val="005A41DC"/>
    <w:rsid w:val="005A66E0"/>
    <w:rsid w:val="005A6A41"/>
    <w:rsid w:val="005A6B6F"/>
    <w:rsid w:val="005A7BB3"/>
    <w:rsid w:val="005B1884"/>
    <w:rsid w:val="005B2534"/>
    <w:rsid w:val="005B3A1B"/>
    <w:rsid w:val="005B3C5E"/>
    <w:rsid w:val="005B3F4B"/>
    <w:rsid w:val="005B657D"/>
    <w:rsid w:val="005B6EC6"/>
    <w:rsid w:val="005B7A7B"/>
    <w:rsid w:val="005C025B"/>
    <w:rsid w:val="005C2EC1"/>
    <w:rsid w:val="005C32E3"/>
    <w:rsid w:val="005C6DF5"/>
    <w:rsid w:val="005D1DCE"/>
    <w:rsid w:val="005D1F8F"/>
    <w:rsid w:val="005D2D61"/>
    <w:rsid w:val="005D5D74"/>
    <w:rsid w:val="005E07B1"/>
    <w:rsid w:val="005E0D9C"/>
    <w:rsid w:val="005F01A3"/>
    <w:rsid w:val="005F257C"/>
    <w:rsid w:val="005F7109"/>
    <w:rsid w:val="00601733"/>
    <w:rsid w:val="00603F53"/>
    <w:rsid w:val="00604EA2"/>
    <w:rsid w:val="0061253A"/>
    <w:rsid w:val="00612DEB"/>
    <w:rsid w:val="006132F0"/>
    <w:rsid w:val="00617B1D"/>
    <w:rsid w:val="00620128"/>
    <w:rsid w:val="00620E85"/>
    <w:rsid w:val="00621132"/>
    <w:rsid w:val="00623CFC"/>
    <w:rsid w:val="006248C3"/>
    <w:rsid w:val="006345CA"/>
    <w:rsid w:val="00634D66"/>
    <w:rsid w:val="00636EB2"/>
    <w:rsid w:val="0064003B"/>
    <w:rsid w:val="0064191B"/>
    <w:rsid w:val="00642F14"/>
    <w:rsid w:val="00645DD7"/>
    <w:rsid w:val="00652069"/>
    <w:rsid w:val="006521F7"/>
    <w:rsid w:val="00655ECC"/>
    <w:rsid w:val="006563EC"/>
    <w:rsid w:val="0065793A"/>
    <w:rsid w:val="006606A7"/>
    <w:rsid w:val="006609C5"/>
    <w:rsid w:val="006625F9"/>
    <w:rsid w:val="00663627"/>
    <w:rsid w:val="00670104"/>
    <w:rsid w:val="00672782"/>
    <w:rsid w:val="00672889"/>
    <w:rsid w:val="00674505"/>
    <w:rsid w:val="00675BFD"/>
    <w:rsid w:val="00676079"/>
    <w:rsid w:val="00677D29"/>
    <w:rsid w:val="006805B9"/>
    <w:rsid w:val="00681FDF"/>
    <w:rsid w:val="00682FE8"/>
    <w:rsid w:val="006830EE"/>
    <w:rsid w:val="00683F56"/>
    <w:rsid w:val="00684E4A"/>
    <w:rsid w:val="006853AE"/>
    <w:rsid w:val="006860E3"/>
    <w:rsid w:val="00687B35"/>
    <w:rsid w:val="00691069"/>
    <w:rsid w:val="00691C0F"/>
    <w:rsid w:val="006920B4"/>
    <w:rsid w:val="0069423A"/>
    <w:rsid w:val="006958E3"/>
    <w:rsid w:val="006978E2"/>
    <w:rsid w:val="006A5488"/>
    <w:rsid w:val="006A56B0"/>
    <w:rsid w:val="006A5F5B"/>
    <w:rsid w:val="006A63E4"/>
    <w:rsid w:val="006B1E8A"/>
    <w:rsid w:val="006B1F7D"/>
    <w:rsid w:val="006B32D4"/>
    <w:rsid w:val="006B3CEE"/>
    <w:rsid w:val="006B4645"/>
    <w:rsid w:val="006B637C"/>
    <w:rsid w:val="006B6F02"/>
    <w:rsid w:val="006B76B9"/>
    <w:rsid w:val="006C0642"/>
    <w:rsid w:val="006C7050"/>
    <w:rsid w:val="006D19C6"/>
    <w:rsid w:val="006D2345"/>
    <w:rsid w:val="006D25DF"/>
    <w:rsid w:val="006D282D"/>
    <w:rsid w:val="006D3EB4"/>
    <w:rsid w:val="006D651A"/>
    <w:rsid w:val="006D75E8"/>
    <w:rsid w:val="006E19C6"/>
    <w:rsid w:val="006E1A95"/>
    <w:rsid w:val="006E1FE8"/>
    <w:rsid w:val="006E427E"/>
    <w:rsid w:val="006E551D"/>
    <w:rsid w:val="006F1124"/>
    <w:rsid w:val="006F2567"/>
    <w:rsid w:val="006F39C2"/>
    <w:rsid w:val="006F65CE"/>
    <w:rsid w:val="006F6F9F"/>
    <w:rsid w:val="006F7DBB"/>
    <w:rsid w:val="00700091"/>
    <w:rsid w:val="00702586"/>
    <w:rsid w:val="007039CA"/>
    <w:rsid w:val="00703AFE"/>
    <w:rsid w:val="00711A00"/>
    <w:rsid w:val="00711E80"/>
    <w:rsid w:val="00712F41"/>
    <w:rsid w:val="00713BB6"/>
    <w:rsid w:val="00713DD2"/>
    <w:rsid w:val="00721CD6"/>
    <w:rsid w:val="00722604"/>
    <w:rsid w:val="00724EA6"/>
    <w:rsid w:val="00726B76"/>
    <w:rsid w:val="007274FF"/>
    <w:rsid w:val="00732A39"/>
    <w:rsid w:val="007335CB"/>
    <w:rsid w:val="00733A03"/>
    <w:rsid w:val="00734F84"/>
    <w:rsid w:val="00736766"/>
    <w:rsid w:val="00742F4D"/>
    <w:rsid w:val="00743918"/>
    <w:rsid w:val="00747957"/>
    <w:rsid w:val="00747C7E"/>
    <w:rsid w:val="00750E62"/>
    <w:rsid w:val="00752A1E"/>
    <w:rsid w:val="007546D1"/>
    <w:rsid w:val="007605FA"/>
    <w:rsid w:val="007609F4"/>
    <w:rsid w:val="00760D30"/>
    <w:rsid w:val="0076121F"/>
    <w:rsid w:val="007621B1"/>
    <w:rsid w:val="00762E5A"/>
    <w:rsid w:val="00762F86"/>
    <w:rsid w:val="007646D1"/>
    <w:rsid w:val="00767903"/>
    <w:rsid w:val="00767BA8"/>
    <w:rsid w:val="0077450F"/>
    <w:rsid w:val="00774F1F"/>
    <w:rsid w:val="007756BA"/>
    <w:rsid w:val="00777BED"/>
    <w:rsid w:val="00781419"/>
    <w:rsid w:val="00787B91"/>
    <w:rsid w:val="007916BF"/>
    <w:rsid w:val="00792E26"/>
    <w:rsid w:val="00795795"/>
    <w:rsid w:val="00796655"/>
    <w:rsid w:val="007A18BE"/>
    <w:rsid w:val="007A198C"/>
    <w:rsid w:val="007A46B2"/>
    <w:rsid w:val="007B25D6"/>
    <w:rsid w:val="007B5DEF"/>
    <w:rsid w:val="007C16AC"/>
    <w:rsid w:val="007C2169"/>
    <w:rsid w:val="007C3594"/>
    <w:rsid w:val="007D0103"/>
    <w:rsid w:val="007D58CE"/>
    <w:rsid w:val="007D76DF"/>
    <w:rsid w:val="007E0674"/>
    <w:rsid w:val="007E0A0C"/>
    <w:rsid w:val="007E27EC"/>
    <w:rsid w:val="007E53B2"/>
    <w:rsid w:val="007E74FA"/>
    <w:rsid w:val="007F0463"/>
    <w:rsid w:val="007F0C68"/>
    <w:rsid w:val="007F2CFB"/>
    <w:rsid w:val="007F3885"/>
    <w:rsid w:val="007F3ED5"/>
    <w:rsid w:val="007F449E"/>
    <w:rsid w:val="007F6BD0"/>
    <w:rsid w:val="007F72D3"/>
    <w:rsid w:val="007F79E0"/>
    <w:rsid w:val="008040B9"/>
    <w:rsid w:val="00804F95"/>
    <w:rsid w:val="00805185"/>
    <w:rsid w:val="00805245"/>
    <w:rsid w:val="00810F3E"/>
    <w:rsid w:val="0081321E"/>
    <w:rsid w:val="00813D8D"/>
    <w:rsid w:val="00814AB6"/>
    <w:rsid w:val="0081658C"/>
    <w:rsid w:val="008221FB"/>
    <w:rsid w:val="00825611"/>
    <w:rsid w:val="00825AB5"/>
    <w:rsid w:val="00834783"/>
    <w:rsid w:val="00836BE2"/>
    <w:rsid w:val="00840118"/>
    <w:rsid w:val="008408BC"/>
    <w:rsid w:val="00841A41"/>
    <w:rsid w:val="00843339"/>
    <w:rsid w:val="00845D6D"/>
    <w:rsid w:val="00845FBB"/>
    <w:rsid w:val="008464EF"/>
    <w:rsid w:val="00850114"/>
    <w:rsid w:val="008501AC"/>
    <w:rsid w:val="0085183B"/>
    <w:rsid w:val="008523F7"/>
    <w:rsid w:val="00855664"/>
    <w:rsid w:val="008602F5"/>
    <w:rsid w:val="0086614A"/>
    <w:rsid w:val="00872A1C"/>
    <w:rsid w:val="008762E8"/>
    <w:rsid w:val="00876E10"/>
    <w:rsid w:val="00881E45"/>
    <w:rsid w:val="00881EA2"/>
    <w:rsid w:val="00884153"/>
    <w:rsid w:val="00890FBB"/>
    <w:rsid w:val="0089197C"/>
    <w:rsid w:val="008971A5"/>
    <w:rsid w:val="008A2DA5"/>
    <w:rsid w:val="008A7D58"/>
    <w:rsid w:val="008A7E1B"/>
    <w:rsid w:val="008B2229"/>
    <w:rsid w:val="008B4D92"/>
    <w:rsid w:val="008B6468"/>
    <w:rsid w:val="008B69F1"/>
    <w:rsid w:val="008C1482"/>
    <w:rsid w:val="008C3125"/>
    <w:rsid w:val="008C3B56"/>
    <w:rsid w:val="008C3DCD"/>
    <w:rsid w:val="008C4D9D"/>
    <w:rsid w:val="008C4E15"/>
    <w:rsid w:val="008C5D62"/>
    <w:rsid w:val="008C6257"/>
    <w:rsid w:val="008D4BAA"/>
    <w:rsid w:val="008D55BA"/>
    <w:rsid w:val="008D5DB3"/>
    <w:rsid w:val="008E0F3F"/>
    <w:rsid w:val="008E3AC9"/>
    <w:rsid w:val="008E5898"/>
    <w:rsid w:val="008E71CE"/>
    <w:rsid w:val="008F232F"/>
    <w:rsid w:val="008F3E5F"/>
    <w:rsid w:val="008F52E7"/>
    <w:rsid w:val="008F69DB"/>
    <w:rsid w:val="00900EAF"/>
    <w:rsid w:val="009052D1"/>
    <w:rsid w:val="009054E1"/>
    <w:rsid w:val="0091027D"/>
    <w:rsid w:val="00911646"/>
    <w:rsid w:val="00915F8C"/>
    <w:rsid w:val="00922805"/>
    <w:rsid w:val="00924D07"/>
    <w:rsid w:val="00927E38"/>
    <w:rsid w:val="00931FD9"/>
    <w:rsid w:val="00935596"/>
    <w:rsid w:val="009379D6"/>
    <w:rsid w:val="00937E38"/>
    <w:rsid w:val="009445A2"/>
    <w:rsid w:val="00945E87"/>
    <w:rsid w:val="00950985"/>
    <w:rsid w:val="00951492"/>
    <w:rsid w:val="00956629"/>
    <w:rsid w:val="00960079"/>
    <w:rsid w:val="00962D77"/>
    <w:rsid w:val="00964945"/>
    <w:rsid w:val="009658B7"/>
    <w:rsid w:val="009658BB"/>
    <w:rsid w:val="0097028A"/>
    <w:rsid w:val="009746CD"/>
    <w:rsid w:val="009778C6"/>
    <w:rsid w:val="009802B7"/>
    <w:rsid w:val="009859A9"/>
    <w:rsid w:val="009904EA"/>
    <w:rsid w:val="00995888"/>
    <w:rsid w:val="009A2824"/>
    <w:rsid w:val="009A36A8"/>
    <w:rsid w:val="009A59CD"/>
    <w:rsid w:val="009A5F65"/>
    <w:rsid w:val="009A6706"/>
    <w:rsid w:val="009B021D"/>
    <w:rsid w:val="009B072F"/>
    <w:rsid w:val="009B0928"/>
    <w:rsid w:val="009B0B82"/>
    <w:rsid w:val="009B14FD"/>
    <w:rsid w:val="009B18E3"/>
    <w:rsid w:val="009B24F6"/>
    <w:rsid w:val="009D1BF9"/>
    <w:rsid w:val="009D26EB"/>
    <w:rsid w:val="009D352B"/>
    <w:rsid w:val="009D3D49"/>
    <w:rsid w:val="009D6C2E"/>
    <w:rsid w:val="009E56BB"/>
    <w:rsid w:val="009E5B2E"/>
    <w:rsid w:val="009E6DCD"/>
    <w:rsid w:val="009F309B"/>
    <w:rsid w:val="009F45F3"/>
    <w:rsid w:val="009F4617"/>
    <w:rsid w:val="009F6E43"/>
    <w:rsid w:val="009F76F9"/>
    <w:rsid w:val="009F7A95"/>
    <w:rsid w:val="00A001BD"/>
    <w:rsid w:val="00A04EBA"/>
    <w:rsid w:val="00A060CC"/>
    <w:rsid w:val="00A10929"/>
    <w:rsid w:val="00A143E6"/>
    <w:rsid w:val="00A14B7F"/>
    <w:rsid w:val="00A15A9D"/>
    <w:rsid w:val="00A171E8"/>
    <w:rsid w:val="00A214A0"/>
    <w:rsid w:val="00A34E4F"/>
    <w:rsid w:val="00A358DB"/>
    <w:rsid w:val="00A35D26"/>
    <w:rsid w:val="00A369B4"/>
    <w:rsid w:val="00A417ED"/>
    <w:rsid w:val="00A43250"/>
    <w:rsid w:val="00A500E0"/>
    <w:rsid w:val="00A521D7"/>
    <w:rsid w:val="00A52707"/>
    <w:rsid w:val="00A54DAC"/>
    <w:rsid w:val="00A55CD6"/>
    <w:rsid w:val="00A60E1D"/>
    <w:rsid w:val="00A61A43"/>
    <w:rsid w:val="00A70F95"/>
    <w:rsid w:val="00A7188B"/>
    <w:rsid w:val="00A7219C"/>
    <w:rsid w:val="00A7244D"/>
    <w:rsid w:val="00A76DFA"/>
    <w:rsid w:val="00A80660"/>
    <w:rsid w:val="00A80C57"/>
    <w:rsid w:val="00A842C5"/>
    <w:rsid w:val="00A84308"/>
    <w:rsid w:val="00A85D2D"/>
    <w:rsid w:val="00A903DF"/>
    <w:rsid w:val="00A907CC"/>
    <w:rsid w:val="00A90ADE"/>
    <w:rsid w:val="00A915ED"/>
    <w:rsid w:val="00A92AF4"/>
    <w:rsid w:val="00A9581F"/>
    <w:rsid w:val="00A959C6"/>
    <w:rsid w:val="00AA0A1F"/>
    <w:rsid w:val="00AA258A"/>
    <w:rsid w:val="00AA3CD5"/>
    <w:rsid w:val="00AA3E44"/>
    <w:rsid w:val="00AA52B4"/>
    <w:rsid w:val="00AA54A3"/>
    <w:rsid w:val="00AB0A16"/>
    <w:rsid w:val="00AB630D"/>
    <w:rsid w:val="00AB74E5"/>
    <w:rsid w:val="00AB7A9E"/>
    <w:rsid w:val="00AC0DA7"/>
    <w:rsid w:val="00AC20C3"/>
    <w:rsid w:val="00AC2390"/>
    <w:rsid w:val="00AC2A98"/>
    <w:rsid w:val="00AC7568"/>
    <w:rsid w:val="00AC7B2C"/>
    <w:rsid w:val="00AD01F7"/>
    <w:rsid w:val="00AD3046"/>
    <w:rsid w:val="00AD5291"/>
    <w:rsid w:val="00AE0631"/>
    <w:rsid w:val="00AE0DBB"/>
    <w:rsid w:val="00AE4477"/>
    <w:rsid w:val="00AE4CAA"/>
    <w:rsid w:val="00AE6741"/>
    <w:rsid w:val="00AE6F11"/>
    <w:rsid w:val="00AE7727"/>
    <w:rsid w:val="00AF09FD"/>
    <w:rsid w:val="00AF34D3"/>
    <w:rsid w:val="00AF3C3D"/>
    <w:rsid w:val="00AF417B"/>
    <w:rsid w:val="00AF5ADA"/>
    <w:rsid w:val="00AF5F81"/>
    <w:rsid w:val="00AF691B"/>
    <w:rsid w:val="00AF7216"/>
    <w:rsid w:val="00AF74C5"/>
    <w:rsid w:val="00B01B51"/>
    <w:rsid w:val="00B053D3"/>
    <w:rsid w:val="00B0607D"/>
    <w:rsid w:val="00B0738E"/>
    <w:rsid w:val="00B07B53"/>
    <w:rsid w:val="00B1522C"/>
    <w:rsid w:val="00B2176F"/>
    <w:rsid w:val="00B238BD"/>
    <w:rsid w:val="00B23F28"/>
    <w:rsid w:val="00B265FF"/>
    <w:rsid w:val="00B32BAF"/>
    <w:rsid w:val="00B33CAF"/>
    <w:rsid w:val="00B33F60"/>
    <w:rsid w:val="00B34922"/>
    <w:rsid w:val="00B4220F"/>
    <w:rsid w:val="00B438C2"/>
    <w:rsid w:val="00B4753D"/>
    <w:rsid w:val="00B51945"/>
    <w:rsid w:val="00B52E3C"/>
    <w:rsid w:val="00B53A60"/>
    <w:rsid w:val="00B545D3"/>
    <w:rsid w:val="00B606F0"/>
    <w:rsid w:val="00B63EBA"/>
    <w:rsid w:val="00B65402"/>
    <w:rsid w:val="00B6785F"/>
    <w:rsid w:val="00B7063B"/>
    <w:rsid w:val="00B73919"/>
    <w:rsid w:val="00B761EC"/>
    <w:rsid w:val="00B76566"/>
    <w:rsid w:val="00B76818"/>
    <w:rsid w:val="00B77584"/>
    <w:rsid w:val="00B80195"/>
    <w:rsid w:val="00B82791"/>
    <w:rsid w:val="00B8435D"/>
    <w:rsid w:val="00B90091"/>
    <w:rsid w:val="00B90C03"/>
    <w:rsid w:val="00B91D23"/>
    <w:rsid w:val="00B924D2"/>
    <w:rsid w:val="00B926ED"/>
    <w:rsid w:val="00B96729"/>
    <w:rsid w:val="00B97262"/>
    <w:rsid w:val="00B9736D"/>
    <w:rsid w:val="00BA06AF"/>
    <w:rsid w:val="00BA1A0C"/>
    <w:rsid w:val="00BA243A"/>
    <w:rsid w:val="00BA4838"/>
    <w:rsid w:val="00BA48B3"/>
    <w:rsid w:val="00BA4E59"/>
    <w:rsid w:val="00BA6C48"/>
    <w:rsid w:val="00BB14F2"/>
    <w:rsid w:val="00BB4832"/>
    <w:rsid w:val="00BB5B19"/>
    <w:rsid w:val="00BB603B"/>
    <w:rsid w:val="00BB76D7"/>
    <w:rsid w:val="00BB7DD7"/>
    <w:rsid w:val="00BB7FD4"/>
    <w:rsid w:val="00BC2595"/>
    <w:rsid w:val="00BC66F9"/>
    <w:rsid w:val="00BD2BF9"/>
    <w:rsid w:val="00BD710B"/>
    <w:rsid w:val="00BD7707"/>
    <w:rsid w:val="00BE581D"/>
    <w:rsid w:val="00BF2514"/>
    <w:rsid w:val="00BF668F"/>
    <w:rsid w:val="00BF72E4"/>
    <w:rsid w:val="00C0200E"/>
    <w:rsid w:val="00C053B5"/>
    <w:rsid w:val="00C07936"/>
    <w:rsid w:val="00C1258C"/>
    <w:rsid w:val="00C13865"/>
    <w:rsid w:val="00C15147"/>
    <w:rsid w:val="00C155E5"/>
    <w:rsid w:val="00C1707F"/>
    <w:rsid w:val="00C17FA9"/>
    <w:rsid w:val="00C223A3"/>
    <w:rsid w:val="00C238C4"/>
    <w:rsid w:val="00C26142"/>
    <w:rsid w:val="00C30D23"/>
    <w:rsid w:val="00C33364"/>
    <w:rsid w:val="00C340AB"/>
    <w:rsid w:val="00C36197"/>
    <w:rsid w:val="00C37425"/>
    <w:rsid w:val="00C4094B"/>
    <w:rsid w:val="00C4293B"/>
    <w:rsid w:val="00C43E14"/>
    <w:rsid w:val="00C47B8F"/>
    <w:rsid w:val="00C51EC8"/>
    <w:rsid w:val="00C5282B"/>
    <w:rsid w:val="00C5383E"/>
    <w:rsid w:val="00C53B03"/>
    <w:rsid w:val="00C53CE6"/>
    <w:rsid w:val="00C61D9F"/>
    <w:rsid w:val="00C61ED2"/>
    <w:rsid w:val="00C62E7A"/>
    <w:rsid w:val="00C632ED"/>
    <w:rsid w:val="00C6435B"/>
    <w:rsid w:val="00C669F7"/>
    <w:rsid w:val="00C7111C"/>
    <w:rsid w:val="00C72531"/>
    <w:rsid w:val="00C72E18"/>
    <w:rsid w:val="00C74CFE"/>
    <w:rsid w:val="00C76F0E"/>
    <w:rsid w:val="00C77CAE"/>
    <w:rsid w:val="00C81DF8"/>
    <w:rsid w:val="00C82C9B"/>
    <w:rsid w:val="00C920B9"/>
    <w:rsid w:val="00C9524A"/>
    <w:rsid w:val="00C953C2"/>
    <w:rsid w:val="00C9577A"/>
    <w:rsid w:val="00C96B8F"/>
    <w:rsid w:val="00C96E9F"/>
    <w:rsid w:val="00CA4EA4"/>
    <w:rsid w:val="00CA684C"/>
    <w:rsid w:val="00CA75F3"/>
    <w:rsid w:val="00CA7929"/>
    <w:rsid w:val="00CA7CB8"/>
    <w:rsid w:val="00CB43F8"/>
    <w:rsid w:val="00CB610D"/>
    <w:rsid w:val="00CB6306"/>
    <w:rsid w:val="00CB6AD0"/>
    <w:rsid w:val="00CC3704"/>
    <w:rsid w:val="00CC5AB5"/>
    <w:rsid w:val="00CC627C"/>
    <w:rsid w:val="00CD035F"/>
    <w:rsid w:val="00CD0470"/>
    <w:rsid w:val="00CD1502"/>
    <w:rsid w:val="00CD1D67"/>
    <w:rsid w:val="00CD2E27"/>
    <w:rsid w:val="00CD7FFC"/>
    <w:rsid w:val="00CE0EEB"/>
    <w:rsid w:val="00CE0F31"/>
    <w:rsid w:val="00CE5047"/>
    <w:rsid w:val="00CE50DD"/>
    <w:rsid w:val="00CE5E76"/>
    <w:rsid w:val="00CE6EF7"/>
    <w:rsid w:val="00CE7EEB"/>
    <w:rsid w:val="00CF055E"/>
    <w:rsid w:val="00CF0B9B"/>
    <w:rsid w:val="00CF0D66"/>
    <w:rsid w:val="00CF3D2D"/>
    <w:rsid w:val="00CF4A8F"/>
    <w:rsid w:val="00CF7972"/>
    <w:rsid w:val="00CF7B5A"/>
    <w:rsid w:val="00D001F6"/>
    <w:rsid w:val="00D012C1"/>
    <w:rsid w:val="00D05CCD"/>
    <w:rsid w:val="00D063BB"/>
    <w:rsid w:val="00D06E38"/>
    <w:rsid w:val="00D119B9"/>
    <w:rsid w:val="00D11A56"/>
    <w:rsid w:val="00D11EC9"/>
    <w:rsid w:val="00D13490"/>
    <w:rsid w:val="00D13A6B"/>
    <w:rsid w:val="00D13EAA"/>
    <w:rsid w:val="00D14D60"/>
    <w:rsid w:val="00D16BA4"/>
    <w:rsid w:val="00D178FA"/>
    <w:rsid w:val="00D20574"/>
    <w:rsid w:val="00D27041"/>
    <w:rsid w:val="00D335B4"/>
    <w:rsid w:val="00D43AA6"/>
    <w:rsid w:val="00D43D97"/>
    <w:rsid w:val="00D460E2"/>
    <w:rsid w:val="00D472D5"/>
    <w:rsid w:val="00D51E47"/>
    <w:rsid w:val="00D52CD0"/>
    <w:rsid w:val="00D57D21"/>
    <w:rsid w:val="00D62E0D"/>
    <w:rsid w:val="00D6477C"/>
    <w:rsid w:val="00D65C79"/>
    <w:rsid w:val="00D70A2B"/>
    <w:rsid w:val="00D714C8"/>
    <w:rsid w:val="00D760B9"/>
    <w:rsid w:val="00D80862"/>
    <w:rsid w:val="00D81782"/>
    <w:rsid w:val="00D81BC8"/>
    <w:rsid w:val="00D82BF3"/>
    <w:rsid w:val="00D8388E"/>
    <w:rsid w:val="00D931B5"/>
    <w:rsid w:val="00D975AB"/>
    <w:rsid w:val="00DA1772"/>
    <w:rsid w:val="00DA1C7C"/>
    <w:rsid w:val="00DA3552"/>
    <w:rsid w:val="00DA583C"/>
    <w:rsid w:val="00DB25C3"/>
    <w:rsid w:val="00DB3E68"/>
    <w:rsid w:val="00DB3EF7"/>
    <w:rsid w:val="00DB5260"/>
    <w:rsid w:val="00DB5C9E"/>
    <w:rsid w:val="00DC0EE9"/>
    <w:rsid w:val="00DC3C2B"/>
    <w:rsid w:val="00DC62EF"/>
    <w:rsid w:val="00DC720E"/>
    <w:rsid w:val="00DD57EF"/>
    <w:rsid w:val="00DD6BFA"/>
    <w:rsid w:val="00DE08A0"/>
    <w:rsid w:val="00DE2699"/>
    <w:rsid w:val="00DE506C"/>
    <w:rsid w:val="00DE6646"/>
    <w:rsid w:val="00DE7519"/>
    <w:rsid w:val="00DE7DA9"/>
    <w:rsid w:val="00DE7ED5"/>
    <w:rsid w:val="00DF0BC3"/>
    <w:rsid w:val="00DF327A"/>
    <w:rsid w:val="00DF7976"/>
    <w:rsid w:val="00E06CDD"/>
    <w:rsid w:val="00E102FF"/>
    <w:rsid w:val="00E11580"/>
    <w:rsid w:val="00E208F5"/>
    <w:rsid w:val="00E221E9"/>
    <w:rsid w:val="00E22DE3"/>
    <w:rsid w:val="00E2607E"/>
    <w:rsid w:val="00E267A8"/>
    <w:rsid w:val="00E271DE"/>
    <w:rsid w:val="00E27A22"/>
    <w:rsid w:val="00E27C32"/>
    <w:rsid w:val="00E42B7D"/>
    <w:rsid w:val="00E42CD6"/>
    <w:rsid w:val="00E43137"/>
    <w:rsid w:val="00E46324"/>
    <w:rsid w:val="00E51A48"/>
    <w:rsid w:val="00E51D3B"/>
    <w:rsid w:val="00E52F26"/>
    <w:rsid w:val="00E537C3"/>
    <w:rsid w:val="00E53C0A"/>
    <w:rsid w:val="00E60D43"/>
    <w:rsid w:val="00E61C11"/>
    <w:rsid w:val="00E64797"/>
    <w:rsid w:val="00E67B9E"/>
    <w:rsid w:val="00E721DC"/>
    <w:rsid w:val="00E74CA5"/>
    <w:rsid w:val="00E74D40"/>
    <w:rsid w:val="00E756DE"/>
    <w:rsid w:val="00E80A58"/>
    <w:rsid w:val="00E81C1C"/>
    <w:rsid w:val="00E86C30"/>
    <w:rsid w:val="00E8700F"/>
    <w:rsid w:val="00E912A0"/>
    <w:rsid w:val="00E934B7"/>
    <w:rsid w:val="00E96B00"/>
    <w:rsid w:val="00E96DD7"/>
    <w:rsid w:val="00EA1220"/>
    <w:rsid w:val="00EA1457"/>
    <w:rsid w:val="00EA1B50"/>
    <w:rsid w:val="00EA1F75"/>
    <w:rsid w:val="00EA4A58"/>
    <w:rsid w:val="00EA5824"/>
    <w:rsid w:val="00EB3493"/>
    <w:rsid w:val="00EB6CC2"/>
    <w:rsid w:val="00EB7E0C"/>
    <w:rsid w:val="00EC0CD6"/>
    <w:rsid w:val="00EC1CEB"/>
    <w:rsid w:val="00EC46FE"/>
    <w:rsid w:val="00EC53EB"/>
    <w:rsid w:val="00ED04F6"/>
    <w:rsid w:val="00ED1C30"/>
    <w:rsid w:val="00ED32AC"/>
    <w:rsid w:val="00ED4D38"/>
    <w:rsid w:val="00ED5E93"/>
    <w:rsid w:val="00ED6D2A"/>
    <w:rsid w:val="00EE13FD"/>
    <w:rsid w:val="00EE6DE2"/>
    <w:rsid w:val="00EE7672"/>
    <w:rsid w:val="00EF4293"/>
    <w:rsid w:val="00EF4981"/>
    <w:rsid w:val="00EF5E9A"/>
    <w:rsid w:val="00F07A70"/>
    <w:rsid w:val="00F07BCD"/>
    <w:rsid w:val="00F12587"/>
    <w:rsid w:val="00F15EAF"/>
    <w:rsid w:val="00F16DBD"/>
    <w:rsid w:val="00F2567D"/>
    <w:rsid w:val="00F25E91"/>
    <w:rsid w:val="00F266EA"/>
    <w:rsid w:val="00F268AC"/>
    <w:rsid w:val="00F31A62"/>
    <w:rsid w:val="00F32379"/>
    <w:rsid w:val="00F33759"/>
    <w:rsid w:val="00F36BD6"/>
    <w:rsid w:val="00F45A07"/>
    <w:rsid w:val="00F47EF9"/>
    <w:rsid w:val="00F509D8"/>
    <w:rsid w:val="00F52E44"/>
    <w:rsid w:val="00F56DEA"/>
    <w:rsid w:val="00F63A2E"/>
    <w:rsid w:val="00F640D1"/>
    <w:rsid w:val="00F660E1"/>
    <w:rsid w:val="00F66CB1"/>
    <w:rsid w:val="00F67DD7"/>
    <w:rsid w:val="00F703C6"/>
    <w:rsid w:val="00F72835"/>
    <w:rsid w:val="00F75336"/>
    <w:rsid w:val="00F75699"/>
    <w:rsid w:val="00F8006F"/>
    <w:rsid w:val="00F825EF"/>
    <w:rsid w:val="00F8277D"/>
    <w:rsid w:val="00F828D3"/>
    <w:rsid w:val="00F82E03"/>
    <w:rsid w:val="00F83C4A"/>
    <w:rsid w:val="00F9337E"/>
    <w:rsid w:val="00F97B47"/>
    <w:rsid w:val="00FA0D1E"/>
    <w:rsid w:val="00FA1A47"/>
    <w:rsid w:val="00FA54CD"/>
    <w:rsid w:val="00FA646B"/>
    <w:rsid w:val="00FB0088"/>
    <w:rsid w:val="00FB5760"/>
    <w:rsid w:val="00FB75D9"/>
    <w:rsid w:val="00FC12E5"/>
    <w:rsid w:val="00FC15F5"/>
    <w:rsid w:val="00FC1CBB"/>
    <w:rsid w:val="00FC4547"/>
    <w:rsid w:val="00FC48B0"/>
    <w:rsid w:val="00FC6FC5"/>
    <w:rsid w:val="00FD01A1"/>
    <w:rsid w:val="00FD022C"/>
    <w:rsid w:val="00FD1339"/>
    <w:rsid w:val="00FD2FDD"/>
    <w:rsid w:val="00FD440C"/>
    <w:rsid w:val="00FD4A62"/>
    <w:rsid w:val="00FD5B49"/>
    <w:rsid w:val="00FD7D13"/>
    <w:rsid w:val="00FE2EFA"/>
    <w:rsid w:val="00FE4277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C841"/>
  <w15:chartTrackingRefBased/>
  <w15:docId w15:val="{E16D1FC6-B4BC-4726-8DBA-57B1075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"/>
    <w:basedOn w:val="Normal"/>
    <w:link w:val="ListParagraphChar"/>
    <w:uiPriority w:val="34"/>
    <w:qFormat/>
    <w:rsid w:val="00456B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E7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B57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62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F6"/>
  </w:style>
  <w:style w:type="paragraph" w:styleId="Footer">
    <w:name w:val="footer"/>
    <w:basedOn w:val="Normal"/>
    <w:link w:val="FooterChar"/>
    <w:uiPriority w:val="99"/>
    <w:unhideWhenUsed/>
    <w:rsid w:val="00ED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F6"/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basedOn w:val="DefaultParagraphFont"/>
    <w:link w:val="ListParagraph"/>
    <w:uiPriority w:val="34"/>
    <w:qFormat/>
    <w:locked/>
    <w:rsid w:val="00E96DD7"/>
  </w:style>
  <w:style w:type="paragraph" w:customStyle="1" w:styleId="Default">
    <w:name w:val="Default"/>
    <w:rsid w:val="003D6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3D97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BA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ectionlabel">
    <w:name w:val="sectionlabel"/>
    <w:basedOn w:val="DefaultParagraphFont"/>
    <w:rsid w:val="00BA4838"/>
  </w:style>
  <w:style w:type="character" w:customStyle="1" w:styleId="lawlabel">
    <w:name w:val="lawlabel"/>
    <w:basedOn w:val="DefaultParagraphFont"/>
    <w:rsid w:val="00BA4838"/>
  </w:style>
  <w:style w:type="character" w:customStyle="1" w:styleId="wb-invisible">
    <w:name w:val="wb-invisible"/>
    <w:basedOn w:val="DefaultParagraphFont"/>
    <w:rsid w:val="00BB7FD4"/>
  </w:style>
  <w:style w:type="paragraph" w:customStyle="1" w:styleId="paragraph">
    <w:name w:val="paragraph"/>
    <w:basedOn w:val="Normal"/>
    <w:rsid w:val="00B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otherlang">
    <w:name w:val="otherlang"/>
    <w:basedOn w:val="DefaultParagraphFont"/>
    <w:rsid w:val="00BB7FD4"/>
  </w:style>
  <w:style w:type="paragraph" w:customStyle="1" w:styleId="section">
    <w:name w:val="section"/>
    <w:basedOn w:val="Normal"/>
    <w:rsid w:val="00A9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otnote">
    <w:name w:val="footnote"/>
    <w:basedOn w:val="Normal"/>
    <w:rsid w:val="00A9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arginalnote">
    <w:name w:val="marginalnote"/>
    <w:basedOn w:val="Normal"/>
    <w:rsid w:val="0022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paragraph">
    <w:name w:val="subparagraph"/>
    <w:basedOn w:val="Normal"/>
    <w:rsid w:val="0022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inition">
    <w:name w:val="definition"/>
    <w:basedOn w:val="Normal"/>
    <w:rsid w:val="00E2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178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4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5A64-7B69-4FBE-84DD-15D9558813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 /  RNCan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Katherine</dc:creator>
  <cp:keywords/>
  <dc:description/>
  <cp:lastModifiedBy>Archer, Susan</cp:lastModifiedBy>
  <cp:revision>3</cp:revision>
  <dcterms:created xsi:type="dcterms:W3CDTF">2023-09-07T13:29:00Z</dcterms:created>
  <dcterms:modified xsi:type="dcterms:W3CDTF">2023-09-07T13:30:00Z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 - NON CLASSIFIÉ</vt:lpwstr>
  </property>
</Properties>
</file>