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2135" w14:textId="7DCBB93A" w:rsidR="00D27041" w:rsidRPr="00FB193A" w:rsidRDefault="00D61F1A" w:rsidP="0047606C">
      <w:pPr>
        <w:spacing w:after="0" w:line="240" w:lineRule="auto"/>
        <w:jc w:val="center"/>
        <w:rPr>
          <w:rFonts w:ascii="Arial" w:hAnsi="Arial" w:cs="Arial"/>
          <w:b/>
          <w:i/>
          <w:sz w:val="28"/>
          <w:szCs w:val="28"/>
          <w:lang w:val="fr-CA"/>
        </w:rPr>
      </w:pPr>
      <w:r w:rsidRPr="00FB193A">
        <w:rPr>
          <w:rFonts w:ascii="Arial" w:hAnsi="Arial" w:cs="Arial"/>
          <w:b/>
          <w:sz w:val="28"/>
          <w:szCs w:val="28"/>
          <w:lang w:val="fr-CA"/>
        </w:rPr>
        <w:t>Document de c</w:t>
      </w:r>
      <w:r w:rsidR="00E96DD7" w:rsidRPr="00FB193A">
        <w:rPr>
          <w:rFonts w:ascii="Arial" w:hAnsi="Arial" w:cs="Arial"/>
          <w:b/>
          <w:sz w:val="28"/>
          <w:szCs w:val="28"/>
          <w:lang w:val="fr-CA"/>
        </w:rPr>
        <w:t xml:space="preserve">onsultation </w:t>
      </w:r>
      <w:r w:rsidRPr="00FB193A">
        <w:rPr>
          <w:rFonts w:ascii="Arial" w:hAnsi="Arial" w:cs="Arial"/>
          <w:b/>
          <w:sz w:val="28"/>
          <w:szCs w:val="28"/>
          <w:lang w:val="fr-CA"/>
        </w:rPr>
        <w:t xml:space="preserve">– modifications proposées au </w:t>
      </w:r>
      <w:r w:rsidRPr="00FB193A">
        <w:rPr>
          <w:rFonts w:ascii="Arial" w:hAnsi="Arial" w:cs="Arial"/>
          <w:b/>
          <w:i/>
          <w:sz w:val="28"/>
          <w:szCs w:val="28"/>
          <w:lang w:val="fr-CA"/>
        </w:rPr>
        <w:t>Règlement de 2013 sur les explosifs</w:t>
      </w:r>
      <w:r w:rsidR="00D335B4" w:rsidRPr="00FB193A">
        <w:rPr>
          <w:rFonts w:ascii="Arial" w:hAnsi="Arial" w:cs="Arial"/>
          <w:b/>
          <w:i/>
          <w:sz w:val="28"/>
          <w:szCs w:val="28"/>
          <w:lang w:val="fr-CA"/>
        </w:rPr>
        <w:t xml:space="preserve"> </w:t>
      </w:r>
    </w:p>
    <w:p w14:paraId="27AFC1FA" w14:textId="77777777" w:rsidR="000B347E" w:rsidRPr="00FB193A" w:rsidRDefault="000B347E" w:rsidP="0047606C">
      <w:pPr>
        <w:spacing w:after="0" w:line="240" w:lineRule="auto"/>
        <w:jc w:val="center"/>
        <w:rPr>
          <w:rFonts w:ascii="Arial" w:hAnsi="Arial" w:cs="Arial"/>
          <w:b/>
          <w:i/>
          <w:sz w:val="28"/>
          <w:szCs w:val="28"/>
          <w:lang w:val="fr-CA"/>
        </w:rPr>
      </w:pPr>
    </w:p>
    <w:p w14:paraId="598D0ED2" w14:textId="77777777" w:rsidR="000B347E" w:rsidRPr="00FB193A" w:rsidRDefault="000B347E" w:rsidP="0047606C">
      <w:pPr>
        <w:spacing w:after="0" w:line="240" w:lineRule="auto"/>
        <w:jc w:val="center"/>
        <w:rPr>
          <w:rFonts w:ascii="Arial" w:hAnsi="Arial" w:cs="Arial"/>
          <w:b/>
          <w:i/>
          <w:sz w:val="28"/>
          <w:szCs w:val="28"/>
          <w:lang w:val="fr-CA"/>
        </w:rPr>
      </w:pPr>
    </w:p>
    <w:tbl>
      <w:tblPr>
        <w:tblStyle w:val="TableGrid"/>
        <w:tblW w:w="0" w:type="auto"/>
        <w:tblLook w:val="04A0" w:firstRow="1" w:lastRow="0" w:firstColumn="1" w:lastColumn="0" w:noHBand="0" w:noVBand="1"/>
      </w:tblPr>
      <w:tblGrid>
        <w:gridCol w:w="1432"/>
        <w:gridCol w:w="3673"/>
        <w:gridCol w:w="3543"/>
        <w:gridCol w:w="3828"/>
        <w:gridCol w:w="3827"/>
      </w:tblGrid>
      <w:tr w:rsidR="00AC2390" w:rsidRPr="00954022" w14:paraId="38EC479A" w14:textId="77777777" w:rsidTr="000B347E">
        <w:trPr>
          <w:tblHeader/>
        </w:trPr>
        <w:tc>
          <w:tcPr>
            <w:tcW w:w="16155" w:type="dxa"/>
            <w:gridSpan w:val="5"/>
            <w:shd w:val="clear" w:color="auto" w:fill="D9D9D9" w:themeFill="background1" w:themeFillShade="D9"/>
          </w:tcPr>
          <w:p w14:paraId="4A26432F" w14:textId="2E9B9ED7" w:rsidR="00AC2390" w:rsidRPr="00FB193A" w:rsidRDefault="00D61F1A" w:rsidP="001E7295">
            <w:pPr>
              <w:spacing w:before="60" w:after="60"/>
              <w:jc w:val="center"/>
              <w:rPr>
                <w:rFonts w:ascii="Arial" w:hAnsi="Arial" w:cs="Arial"/>
                <w:b/>
                <w:bCs/>
                <w:sz w:val="24"/>
                <w:szCs w:val="24"/>
                <w:lang w:val="fr-CA"/>
              </w:rPr>
            </w:pPr>
            <w:r w:rsidRPr="00FB193A">
              <w:rPr>
                <w:rFonts w:ascii="Arial" w:hAnsi="Arial" w:cs="Arial"/>
                <w:b/>
                <w:bCs/>
                <w:sz w:val="24"/>
                <w:szCs w:val="24"/>
                <w:lang w:val="fr-CA"/>
              </w:rPr>
              <w:t xml:space="preserve">Modifications proposées avant </w:t>
            </w:r>
            <w:r w:rsidR="00744747" w:rsidRPr="00FB193A">
              <w:rPr>
                <w:rFonts w:ascii="Arial" w:hAnsi="Arial" w:cs="Arial"/>
                <w:b/>
                <w:bCs/>
                <w:sz w:val="24"/>
                <w:szCs w:val="24"/>
                <w:lang w:val="fr-CA"/>
              </w:rPr>
              <w:t>la publication dans la Partie II de la Gazette du Canada</w:t>
            </w:r>
          </w:p>
        </w:tc>
      </w:tr>
      <w:tr w:rsidR="00D27041" w:rsidRPr="00FB193A" w14:paraId="53C69AD5" w14:textId="49D5163F" w:rsidTr="000B347E">
        <w:trPr>
          <w:tblHeader/>
        </w:trPr>
        <w:tc>
          <w:tcPr>
            <w:tcW w:w="1284" w:type="dxa"/>
            <w:shd w:val="clear" w:color="auto" w:fill="BFBFBF" w:themeFill="background1" w:themeFillShade="BF"/>
          </w:tcPr>
          <w:p w14:paraId="7F0E3013" w14:textId="4D55257E" w:rsidR="00D27041" w:rsidRPr="00FB193A" w:rsidRDefault="00FB193A" w:rsidP="00FB193A">
            <w:pPr>
              <w:spacing w:before="60" w:after="60"/>
              <w:jc w:val="center"/>
              <w:rPr>
                <w:rFonts w:ascii="Arial" w:hAnsi="Arial" w:cs="Arial"/>
                <w:b/>
                <w:sz w:val="26"/>
                <w:szCs w:val="26"/>
                <w:lang w:val="fr-CA"/>
              </w:rPr>
            </w:pPr>
            <w:r w:rsidRPr="00FB193A">
              <w:rPr>
                <w:rFonts w:ascii="Arial" w:hAnsi="Arial" w:cs="Arial"/>
                <w:b/>
                <w:sz w:val="26"/>
                <w:szCs w:val="26"/>
                <w:lang w:val="fr-CA"/>
              </w:rPr>
              <w:t>N</w:t>
            </w:r>
            <w:r w:rsidRPr="00FB193A">
              <w:rPr>
                <w:rFonts w:ascii="Arial" w:hAnsi="Arial" w:cs="Arial"/>
                <w:b/>
                <w:sz w:val="26"/>
                <w:szCs w:val="26"/>
                <w:vertAlign w:val="superscript"/>
                <w:lang w:val="fr-CA"/>
              </w:rPr>
              <w:t>o</w:t>
            </w:r>
          </w:p>
        </w:tc>
        <w:tc>
          <w:tcPr>
            <w:tcW w:w="3673" w:type="dxa"/>
            <w:shd w:val="clear" w:color="auto" w:fill="BFBFBF" w:themeFill="background1" w:themeFillShade="BF"/>
          </w:tcPr>
          <w:p w14:paraId="5E574EF3" w14:textId="0BEE3128" w:rsidR="00D27041" w:rsidRPr="00FB193A" w:rsidRDefault="00744747" w:rsidP="00D335B4">
            <w:pPr>
              <w:spacing w:before="60" w:after="60"/>
              <w:jc w:val="center"/>
              <w:rPr>
                <w:rFonts w:ascii="Arial" w:hAnsi="Arial" w:cs="Arial"/>
                <w:b/>
                <w:sz w:val="26"/>
                <w:szCs w:val="26"/>
                <w:lang w:val="fr-CA"/>
              </w:rPr>
            </w:pPr>
            <w:r w:rsidRPr="00FB193A">
              <w:rPr>
                <w:rFonts w:ascii="Arial" w:hAnsi="Arial" w:cs="Arial"/>
                <w:b/>
                <w:sz w:val="26"/>
                <w:szCs w:val="26"/>
                <w:lang w:val="fr-CA"/>
              </w:rPr>
              <w:t>Disposition proposée antérieurement</w:t>
            </w:r>
          </w:p>
        </w:tc>
        <w:tc>
          <w:tcPr>
            <w:tcW w:w="3543" w:type="dxa"/>
            <w:shd w:val="clear" w:color="auto" w:fill="BFBFBF" w:themeFill="background1" w:themeFillShade="BF"/>
          </w:tcPr>
          <w:p w14:paraId="567C9878" w14:textId="7271B696" w:rsidR="00D27041" w:rsidRPr="00FB193A" w:rsidRDefault="00744747" w:rsidP="00D335B4">
            <w:pPr>
              <w:spacing w:before="60" w:after="60"/>
              <w:jc w:val="center"/>
              <w:rPr>
                <w:rFonts w:ascii="Arial" w:hAnsi="Arial" w:cs="Arial"/>
                <w:b/>
                <w:sz w:val="26"/>
                <w:szCs w:val="26"/>
                <w:lang w:val="fr-CA"/>
              </w:rPr>
            </w:pPr>
            <w:r w:rsidRPr="00FB193A">
              <w:rPr>
                <w:rFonts w:ascii="Arial" w:hAnsi="Arial" w:cs="Arial"/>
                <w:b/>
                <w:sz w:val="26"/>
                <w:szCs w:val="26"/>
                <w:lang w:val="fr-CA"/>
              </w:rPr>
              <w:t>Modifications proposées</w:t>
            </w:r>
          </w:p>
        </w:tc>
        <w:tc>
          <w:tcPr>
            <w:tcW w:w="3828" w:type="dxa"/>
            <w:shd w:val="clear" w:color="auto" w:fill="BFBFBF" w:themeFill="background1" w:themeFillShade="BF"/>
          </w:tcPr>
          <w:p w14:paraId="04F2056B" w14:textId="4D5FAA67" w:rsidR="00D27041" w:rsidRPr="00FB193A" w:rsidRDefault="00744747" w:rsidP="00D335B4">
            <w:pPr>
              <w:spacing w:before="60" w:after="60"/>
              <w:jc w:val="center"/>
              <w:rPr>
                <w:rFonts w:ascii="Arial" w:hAnsi="Arial" w:cs="Arial"/>
                <w:b/>
                <w:sz w:val="26"/>
                <w:szCs w:val="26"/>
                <w:lang w:val="fr-CA"/>
              </w:rPr>
            </w:pPr>
            <w:r w:rsidRPr="00FB193A">
              <w:rPr>
                <w:rFonts w:ascii="Arial" w:hAnsi="Arial" w:cs="Arial"/>
                <w:b/>
                <w:sz w:val="26"/>
                <w:szCs w:val="26"/>
                <w:lang w:val="fr-CA"/>
              </w:rPr>
              <w:t>Justification</w:t>
            </w:r>
          </w:p>
        </w:tc>
        <w:tc>
          <w:tcPr>
            <w:tcW w:w="3827" w:type="dxa"/>
            <w:shd w:val="clear" w:color="auto" w:fill="BFBFBF" w:themeFill="background1" w:themeFillShade="BF"/>
          </w:tcPr>
          <w:p w14:paraId="0EC34FEC" w14:textId="5A9172F3" w:rsidR="00D27041" w:rsidRPr="00FB193A" w:rsidRDefault="00D27041" w:rsidP="00D335B4">
            <w:pPr>
              <w:spacing w:before="60" w:after="60"/>
              <w:jc w:val="center"/>
              <w:rPr>
                <w:rFonts w:ascii="Arial" w:hAnsi="Arial" w:cs="Arial"/>
                <w:b/>
                <w:sz w:val="26"/>
                <w:szCs w:val="26"/>
                <w:lang w:val="fr-CA"/>
              </w:rPr>
            </w:pPr>
            <w:r w:rsidRPr="00FB193A">
              <w:rPr>
                <w:rFonts w:ascii="Arial" w:hAnsi="Arial" w:cs="Arial"/>
                <w:b/>
                <w:sz w:val="26"/>
                <w:szCs w:val="26"/>
                <w:lang w:val="fr-CA"/>
              </w:rPr>
              <w:t>Comment</w:t>
            </w:r>
            <w:r w:rsidR="00744747" w:rsidRPr="00FB193A">
              <w:rPr>
                <w:rFonts w:ascii="Arial" w:hAnsi="Arial" w:cs="Arial"/>
                <w:b/>
                <w:sz w:val="26"/>
                <w:szCs w:val="26"/>
                <w:lang w:val="fr-CA"/>
              </w:rPr>
              <w:t>aire</w:t>
            </w:r>
            <w:r w:rsidRPr="00FB193A">
              <w:rPr>
                <w:rFonts w:ascii="Arial" w:hAnsi="Arial" w:cs="Arial"/>
                <w:b/>
                <w:sz w:val="26"/>
                <w:szCs w:val="26"/>
                <w:lang w:val="fr-CA"/>
              </w:rPr>
              <w:t>s</w:t>
            </w:r>
          </w:p>
        </w:tc>
      </w:tr>
      <w:tr w:rsidR="00D27041" w:rsidRPr="00954022" w14:paraId="46C62A77" w14:textId="26E83AA7" w:rsidTr="000B347E">
        <w:tc>
          <w:tcPr>
            <w:tcW w:w="1284" w:type="dxa"/>
          </w:tcPr>
          <w:p w14:paraId="42876101" w14:textId="77777777" w:rsidR="00D27041" w:rsidRPr="00FB193A" w:rsidRDefault="00D27041" w:rsidP="00E2607E">
            <w:pPr>
              <w:rPr>
                <w:lang w:val="fr-CA"/>
              </w:rPr>
            </w:pPr>
          </w:p>
          <w:p w14:paraId="16C58F41" w14:textId="68D640F0" w:rsidR="00E2607E" w:rsidRPr="00FB193A" w:rsidRDefault="00E2607E" w:rsidP="00E2607E">
            <w:pPr>
              <w:ind w:firstLine="720"/>
              <w:rPr>
                <w:lang w:val="fr-CA"/>
              </w:rPr>
            </w:pPr>
          </w:p>
        </w:tc>
        <w:tc>
          <w:tcPr>
            <w:tcW w:w="3673" w:type="dxa"/>
          </w:tcPr>
          <w:p w14:paraId="34155F12" w14:textId="114AC390" w:rsidR="00C13865" w:rsidRPr="00FB193A" w:rsidRDefault="00951492" w:rsidP="00C13865">
            <w:pPr>
              <w:rPr>
                <w:b/>
                <w:lang w:val="fr-CA"/>
              </w:rPr>
            </w:pPr>
            <w:r w:rsidRPr="00FB193A">
              <w:rPr>
                <w:b/>
                <w:lang w:val="fr-CA"/>
              </w:rPr>
              <w:t>N</w:t>
            </w:r>
            <w:r w:rsidR="00744747" w:rsidRPr="00FB193A">
              <w:rPr>
                <w:b/>
                <w:lang w:val="fr-CA"/>
              </w:rPr>
              <w:t>OUVEAU</w:t>
            </w:r>
          </w:p>
        </w:tc>
        <w:tc>
          <w:tcPr>
            <w:tcW w:w="3543" w:type="dxa"/>
          </w:tcPr>
          <w:p w14:paraId="32ED00B1" w14:textId="4B158749" w:rsidR="00813D8D" w:rsidRPr="00FB193A" w:rsidRDefault="006D2E0D" w:rsidP="00813D8D">
            <w:pPr>
              <w:rPr>
                <w:lang w:val="fr-CA"/>
              </w:rPr>
            </w:pPr>
            <w:r w:rsidRPr="00FB193A">
              <w:rPr>
                <w:lang w:val="fr-CA"/>
              </w:rPr>
              <w:t>Modifier l'article 107 afin d'ajouter la fabrication de dispositifs de fantaisie de type F.5 par des amateurs aux activités autorisées pour les titulaires d'une licence de fabrique de la section 2.</w:t>
            </w:r>
          </w:p>
        </w:tc>
        <w:tc>
          <w:tcPr>
            <w:tcW w:w="3828" w:type="dxa"/>
          </w:tcPr>
          <w:p w14:paraId="49406742" w14:textId="59A33B2A" w:rsidR="00D27041" w:rsidRPr="00FB193A" w:rsidRDefault="006D2E0D" w:rsidP="00CA75F3">
            <w:pPr>
              <w:rPr>
                <w:lang w:val="fr-CA"/>
              </w:rPr>
            </w:pPr>
            <w:r w:rsidRPr="00FB193A">
              <w:rPr>
                <w:lang w:val="fr-CA"/>
              </w:rPr>
              <w:t>Cette modification proposée vise à autoriser explicitement les amateurs à créer des dispositifs de fantaisie de type F.5</w:t>
            </w:r>
            <w:r w:rsidR="009A3686">
              <w:rPr>
                <w:lang w:val="fr-CA"/>
              </w:rPr>
              <w:t>. S</w:t>
            </w:r>
            <w:r w:rsidRPr="00FB193A">
              <w:rPr>
                <w:lang w:val="fr-CA"/>
              </w:rPr>
              <w:t>ans cette modification, la fabrication par des amateurs deviendrait une activité de fabrication visée par la section 1.</w:t>
            </w:r>
            <w:r w:rsidR="00BC0FBE">
              <w:rPr>
                <w:lang w:val="fr-CA"/>
              </w:rPr>
              <w:t xml:space="preserve"> </w:t>
            </w:r>
          </w:p>
        </w:tc>
        <w:tc>
          <w:tcPr>
            <w:tcW w:w="3827" w:type="dxa"/>
          </w:tcPr>
          <w:p w14:paraId="361EE0FA" w14:textId="77777777" w:rsidR="00D27041" w:rsidRPr="00FB193A" w:rsidRDefault="00D27041" w:rsidP="001F6E34">
            <w:pPr>
              <w:rPr>
                <w:lang w:val="fr-CA"/>
              </w:rPr>
            </w:pPr>
          </w:p>
        </w:tc>
      </w:tr>
      <w:tr w:rsidR="009052D1" w:rsidRPr="00954022" w14:paraId="69A53D87" w14:textId="77777777" w:rsidTr="000B347E">
        <w:tc>
          <w:tcPr>
            <w:tcW w:w="1284" w:type="dxa"/>
          </w:tcPr>
          <w:p w14:paraId="38FE7B14" w14:textId="0111ABA6" w:rsidR="009052D1" w:rsidRPr="00FB193A" w:rsidRDefault="009052D1" w:rsidP="00E2607E">
            <w:pPr>
              <w:rPr>
                <w:lang w:val="fr-CA"/>
              </w:rPr>
            </w:pPr>
            <w:r w:rsidRPr="00FB193A">
              <w:rPr>
                <w:lang w:val="fr-CA"/>
              </w:rPr>
              <w:t># 39</w:t>
            </w:r>
          </w:p>
        </w:tc>
        <w:tc>
          <w:tcPr>
            <w:tcW w:w="3673" w:type="dxa"/>
          </w:tcPr>
          <w:p w14:paraId="1A37DC85" w14:textId="1A2AA40F" w:rsidR="009052D1" w:rsidRPr="00FB193A" w:rsidRDefault="00F72627" w:rsidP="00C13865">
            <w:pPr>
              <w:rPr>
                <w:b/>
                <w:lang w:val="fr-CA"/>
              </w:rPr>
            </w:pPr>
            <w:r w:rsidRPr="00FB193A">
              <w:rPr>
                <w:b/>
                <w:lang w:val="fr-CA"/>
              </w:rPr>
              <w:t>Refus de délivrance</w:t>
            </w:r>
          </w:p>
          <w:p w14:paraId="23A6C30C" w14:textId="00A20833" w:rsidR="00796655" w:rsidRPr="00FB193A" w:rsidRDefault="00796655" w:rsidP="00C13865">
            <w:pPr>
              <w:rPr>
                <w:b/>
                <w:lang w:val="fr-CA"/>
              </w:rPr>
            </w:pPr>
            <w:r w:rsidRPr="00FB193A">
              <w:rPr>
                <w:b/>
                <w:lang w:val="fr-CA"/>
              </w:rPr>
              <w:t>Re</w:t>
            </w:r>
            <w:r w:rsidR="00F72627" w:rsidRPr="00FB193A">
              <w:rPr>
                <w:b/>
                <w:lang w:val="fr-CA"/>
              </w:rPr>
              <w:t>fus du ministre</w:t>
            </w:r>
          </w:p>
          <w:p w14:paraId="0C2D6B3E" w14:textId="24D5B187" w:rsidR="00F72627" w:rsidRPr="00FB193A" w:rsidRDefault="00796655" w:rsidP="00F72627">
            <w:pPr>
              <w:rPr>
                <w:b/>
                <w:lang w:val="fr-CA"/>
              </w:rPr>
            </w:pPr>
            <w:r w:rsidRPr="00FB193A">
              <w:rPr>
                <w:bCs/>
                <w:lang w:val="fr-CA"/>
              </w:rPr>
              <w:t xml:space="preserve">164.1 </w:t>
            </w:r>
            <w:r w:rsidR="00F72627" w:rsidRPr="00FB193A">
              <w:rPr>
                <w:bCs/>
                <w:lang w:val="fr-CA"/>
              </w:rPr>
              <w:t xml:space="preserve">Le ministre peut, par avis écrit motivé, refuser de délivrer une licence, un permis ou un certificat s’il a des motifs raisonnables de croire que la délivrance constituerait un risque pour la sécurité des personnes. </w:t>
            </w:r>
          </w:p>
          <w:p w14:paraId="15C487A8" w14:textId="5CCA5B76" w:rsidR="00796655" w:rsidRPr="00FB193A" w:rsidRDefault="00796655" w:rsidP="00796655">
            <w:pPr>
              <w:rPr>
                <w:b/>
                <w:lang w:val="fr-CA"/>
              </w:rPr>
            </w:pPr>
          </w:p>
        </w:tc>
        <w:tc>
          <w:tcPr>
            <w:tcW w:w="3543" w:type="dxa"/>
          </w:tcPr>
          <w:p w14:paraId="038A92EB" w14:textId="6C9CAC22" w:rsidR="00954022" w:rsidRDefault="00954022" w:rsidP="00813D8D">
            <w:pPr>
              <w:rPr>
                <w:lang w:val="fr-CA"/>
              </w:rPr>
            </w:pPr>
            <w:r>
              <w:rPr>
                <w:lang w:val="fr-CA"/>
              </w:rPr>
              <w:t>Modifier l’article 164.1 afin d’ajouter la sécurité des biens :</w:t>
            </w:r>
          </w:p>
          <w:p w14:paraId="63A61B8A" w14:textId="7EE5C61E" w:rsidR="00954022" w:rsidRDefault="00954022" w:rsidP="00813D8D">
            <w:pPr>
              <w:rPr>
                <w:lang w:val="fr-CA"/>
              </w:rPr>
            </w:pPr>
            <w:r>
              <w:rPr>
                <w:lang w:val="fr-CA"/>
              </w:rPr>
              <w:t>« </w:t>
            </w:r>
            <w:proofErr w:type="gramStart"/>
            <w:r>
              <w:rPr>
                <w:lang w:val="fr-CA"/>
              </w:rPr>
              <w:t>s’il</w:t>
            </w:r>
            <w:proofErr w:type="gramEnd"/>
            <w:r>
              <w:rPr>
                <w:lang w:val="fr-CA"/>
              </w:rPr>
              <w:t xml:space="preserve"> y a des motifs raisonnables de croire que la délivrance constituerait un risque pour la sécurité des personnes ou des biens.</w:t>
            </w:r>
          </w:p>
          <w:p w14:paraId="1AA608FE" w14:textId="77777777" w:rsidR="00954022" w:rsidRDefault="00954022" w:rsidP="00813D8D">
            <w:pPr>
              <w:rPr>
                <w:lang w:val="fr-CA"/>
              </w:rPr>
            </w:pPr>
          </w:p>
          <w:p w14:paraId="69BE4E20" w14:textId="7632EC74" w:rsidR="009052D1" w:rsidRPr="00FB193A" w:rsidRDefault="00661E0B" w:rsidP="00813D8D">
            <w:pPr>
              <w:rPr>
                <w:lang w:val="fr-CA"/>
              </w:rPr>
            </w:pPr>
            <w:r w:rsidRPr="00FB193A">
              <w:rPr>
                <w:lang w:val="fr-CA"/>
              </w:rPr>
              <w:t>Ajouter des dispositions à l'article 164 afin d'établir une procédure permettant au ministre de réviser le refus de délivrance d’une licence, comme il peut le faire dans le cas du refus de délivrance d’une lettre d’approbation.</w:t>
            </w:r>
          </w:p>
          <w:p w14:paraId="4879A538" w14:textId="77777777" w:rsidR="009052D1" w:rsidRPr="00FB193A" w:rsidRDefault="009052D1" w:rsidP="00813D8D">
            <w:pPr>
              <w:rPr>
                <w:lang w:val="fr-CA"/>
              </w:rPr>
            </w:pPr>
          </w:p>
          <w:p w14:paraId="4ABDCBF1" w14:textId="71B48709" w:rsidR="009052D1" w:rsidRPr="00FB193A" w:rsidRDefault="00250894" w:rsidP="009052D1">
            <w:pPr>
              <w:rPr>
                <w:b/>
                <w:bCs/>
                <w:lang w:val="fr-CA"/>
              </w:rPr>
            </w:pPr>
            <w:r w:rsidRPr="00FB193A">
              <w:rPr>
                <w:b/>
                <w:bCs/>
                <w:lang w:val="fr-CA"/>
              </w:rPr>
              <w:t>Demande de révision</w:t>
            </w:r>
            <w:r w:rsidR="009052D1" w:rsidRPr="00FB193A">
              <w:rPr>
                <w:b/>
                <w:bCs/>
                <w:lang w:val="fr-CA"/>
              </w:rPr>
              <w:t xml:space="preserve"> </w:t>
            </w:r>
          </w:p>
          <w:p w14:paraId="6E45B065" w14:textId="751AEDC0" w:rsidR="009052D1" w:rsidRPr="00FB193A" w:rsidRDefault="006B637C" w:rsidP="009052D1">
            <w:pPr>
              <w:rPr>
                <w:lang w:val="fr-CA"/>
              </w:rPr>
            </w:pPr>
            <w:r w:rsidRPr="00FB193A">
              <w:rPr>
                <w:lang w:val="fr-CA"/>
              </w:rPr>
              <w:t>164.1(1)</w:t>
            </w:r>
            <w:r w:rsidR="009052D1" w:rsidRPr="00FB193A">
              <w:rPr>
                <w:lang w:val="fr-CA"/>
              </w:rPr>
              <w:t xml:space="preserve"> </w:t>
            </w:r>
            <w:r w:rsidR="00250894" w:rsidRPr="00FB193A">
              <w:rPr>
                <w:lang w:val="fr-CA"/>
              </w:rPr>
              <w:t xml:space="preserve">Le demandeur peut, dans les trente jours suivant la réception de l’avis de refus, faire parvenir par </w:t>
            </w:r>
            <w:r w:rsidR="00250894" w:rsidRPr="00FB193A">
              <w:rPr>
                <w:lang w:val="fr-CA"/>
              </w:rPr>
              <w:lastRenderedPageBreak/>
              <w:t>écrit au ministre des renseignements ou des documents qui démontrent que les renseignements sur lesquels se fonde le refus sont inexacts.</w:t>
            </w:r>
          </w:p>
          <w:p w14:paraId="4EC535E9" w14:textId="77777777" w:rsidR="00250894" w:rsidRPr="00FB193A" w:rsidRDefault="00250894" w:rsidP="009052D1">
            <w:pPr>
              <w:rPr>
                <w:lang w:val="fr-CA"/>
              </w:rPr>
            </w:pPr>
          </w:p>
          <w:p w14:paraId="028CF65A" w14:textId="77EAE6F4" w:rsidR="009052D1" w:rsidRPr="00FB193A" w:rsidRDefault="009052D1" w:rsidP="009052D1">
            <w:pPr>
              <w:rPr>
                <w:lang w:val="fr-CA"/>
              </w:rPr>
            </w:pPr>
            <w:r w:rsidRPr="00FB193A">
              <w:rPr>
                <w:lang w:val="fr-CA"/>
              </w:rPr>
              <w:t>D</w:t>
            </w:r>
            <w:r w:rsidR="00250894" w:rsidRPr="00FB193A">
              <w:rPr>
                <w:lang w:val="fr-CA"/>
              </w:rPr>
              <w:t>écision – demande de révision</w:t>
            </w:r>
            <w:r w:rsidRPr="00FB193A">
              <w:rPr>
                <w:lang w:val="fr-CA"/>
              </w:rPr>
              <w:t xml:space="preserve"> </w:t>
            </w:r>
          </w:p>
          <w:p w14:paraId="74D37E49" w14:textId="52CBC18C" w:rsidR="009052D1" w:rsidRPr="00FB193A" w:rsidRDefault="006B637C" w:rsidP="009052D1">
            <w:pPr>
              <w:rPr>
                <w:lang w:val="fr-CA"/>
              </w:rPr>
            </w:pPr>
            <w:r w:rsidRPr="00FB193A">
              <w:rPr>
                <w:lang w:val="fr-CA"/>
              </w:rPr>
              <w:t>164.1(2)</w:t>
            </w:r>
            <w:r w:rsidR="009052D1" w:rsidRPr="00FB193A">
              <w:rPr>
                <w:lang w:val="fr-CA"/>
              </w:rPr>
              <w:t xml:space="preserve"> </w:t>
            </w:r>
            <w:r w:rsidR="00250894" w:rsidRPr="00FB193A">
              <w:rPr>
                <w:lang w:val="fr-CA"/>
              </w:rPr>
              <w:t>Après avoir examiné les nouveaux renseignements ou les nouveaux documents, le ministre :</w:t>
            </w:r>
          </w:p>
          <w:p w14:paraId="70A09B13" w14:textId="2BA83EB8" w:rsidR="009052D1" w:rsidRPr="00FB193A" w:rsidRDefault="009052D1" w:rsidP="009052D1">
            <w:pPr>
              <w:rPr>
                <w:lang w:val="fr-CA"/>
              </w:rPr>
            </w:pPr>
            <w:r w:rsidRPr="00FB193A">
              <w:rPr>
                <w:lang w:val="fr-CA"/>
              </w:rPr>
              <w:t xml:space="preserve">(a) </w:t>
            </w:r>
            <w:r w:rsidR="00250894" w:rsidRPr="00FB193A">
              <w:rPr>
                <w:lang w:val="fr-CA"/>
              </w:rPr>
              <w:t>délivre la licence, si les renseignements sur lesquels se fonde son refus sont inexacts;</w:t>
            </w:r>
          </w:p>
          <w:p w14:paraId="2F950642" w14:textId="198D0447" w:rsidR="009052D1" w:rsidRPr="00FB193A" w:rsidRDefault="009052D1" w:rsidP="009052D1">
            <w:pPr>
              <w:rPr>
                <w:lang w:val="fr-CA"/>
              </w:rPr>
            </w:pPr>
            <w:r w:rsidRPr="00FB193A">
              <w:rPr>
                <w:lang w:val="fr-CA"/>
              </w:rPr>
              <w:t xml:space="preserve">(b) </w:t>
            </w:r>
            <w:r w:rsidR="00250894" w:rsidRPr="00FB193A">
              <w:rPr>
                <w:lang w:val="fr-CA"/>
              </w:rPr>
              <w:t>fait parvenir au demandeur un avis motivé du refus, si les renseignements sur lesquels se fonde son refus sont exacts.</w:t>
            </w:r>
          </w:p>
        </w:tc>
        <w:tc>
          <w:tcPr>
            <w:tcW w:w="3828" w:type="dxa"/>
          </w:tcPr>
          <w:p w14:paraId="031DDDBC" w14:textId="6621AED8" w:rsidR="009052D1" w:rsidRPr="00FB193A" w:rsidRDefault="00250894" w:rsidP="009052D1">
            <w:pPr>
              <w:rPr>
                <w:lang w:val="fr-CA"/>
              </w:rPr>
            </w:pPr>
            <w:r w:rsidRPr="00FB193A">
              <w:rPr>
                <w:lang w:val="fr-CA"/>
              </w:rPr>
              <w:lastRenderedPageBreak/>
              <w:t>L'ajout de cette disposition permettra de clarifier la procédure de révision d’un refus.</w:t>
            </w:r>
          </w:p>
        </w:tc>
        <w:tc>
          <w:tcPr>
            <w:tcW w:w="3827" w:type="dxa"/>
          </w:tcPr>
          <w:p w14:paraId="2BD01AEA" w14:textId="77777777" w:rsidR="009052D1" w:rsidRPr="00FB193A" w:rsidRDefault="009052D1" w:rsidP="001F6E34">
            <w:pPr>
              <w:rPr>
                <w:lang w:val="fr-CA"/>
              </w:rPr>
            </w:pPr>
          </w:p>
        </w:tc>
      </w:tr>
      <w:tr w:rsidR="004C75B8" w:rsidRPr="001D289A" w14:paraId="1F1C8CB1" w14:textId="77777777" w:rsidTr="000B347E">
        <w:tc>
          <w:tcPr>
            <w:tcW w:w="1284" w:type="dxa"/>
          </w:tcPr>
          <w:p w14:paraId="6D005DBA" w14:textId="20C85F5E" w:rsidR="004C75B8" w:rsidRPr="00FB193A" w:rsidRDefault="00B0607D" w:rsidP="00E2607E">
            <w:pPr>
              <w:rPr>
                <w:lang w:val="fr-CA"/>
              </w:rPr>
            </w:pPr>
            <w:r w:rsidRPr="00FB193A">
              <w:rPr>
                <w:lang w:val="fr-CA"/>
              </w:rPr>
              <w:t>#</w:t>
            </w:r>
            <w:r w:rsidR="00405D73" w:rsidRPr="00FB193A">
              <w:rPr>
                <w:lang w:val="fr-CA"/>
              </w:rPr>
              <w:t xml:space="preserve"> </w:t>
            </w:r>
            <w:r w:rsidRPr="00FB193A">
              <w:rPr>
                <w:lang w:val="fr-CA"/>
              </w:rPr>
              <w:t xml:space="preserve">57 </w:t>
            </w:r>
            <w:r w:rsidR="004645D4" w:rsidRPr="00FB193A">
              <w:rPr>
                <w:lang w:val="fr-CA"/>
              </w:rPr>
              <w:t>modifications à l’article 199</w:t>
            </w:r>
          </w:p>
        </w:tc>
        <w:tc>
          <w:tcPr>
            <w:tcW w:w="3673" w:type="dxa"/>
          </w:tcPr>
          <w:p w14:paraId="40BF3E95" w14:textId="211FB42B" w:rsidR="004C75B8" w:rsidRPr="00FB193A" w:rsidRDefault="00875141" w:rsidP="00C13865">
            <w:pPr>
              <w:rPr>
                <w:b/>
                <w:lang w:val="fr-CA"/>
              </w:rPr>
            </w:pPr>
            <w:r w:rsidRPr="00FB193A">
              <w:rPr>
                <w:b/>
                <w:lang w:val="fr-CA"/>
              </w:rPr>
              <w:t>Surveillance électronique</w:t>
            </w:r>
          </w:p>
          <w:p w14:paraId="344225E3" w14:textId="33E4EE16" w:rsidR="00366DC4" w:rsidRPr="00FB193A" w:rsidRDefault="00366DC4" w:rsidP="00366DC4">
            <w:pPr>
              <w:rPr>
                <w:bCs/>
                <w:lang w:val="fr-CA"/>
              </w:rPr>
            </w:pPr>
            <w:r w:rsidRPr="00FB193A">
              <w:rPr>
                <w:bCs/>
                <w:lang w:val="fr-CA"/>
              </w:rPr>
              <w:t xml:space="preserve">(4) </w:t>
            </w:r>
            <w:r w:rsidR="00875141" w:rsidRPr="00FB193A">
              <w:rPr>
                <w:bCs/>
                <w:lang w:val="fr-CA"/>
              </w:rPr>
              <w:t>Un véhicule contenant des explosifs peut être surveillé par une personne à l’aide de moyens électroniques si les exigences suivantes sont respectées :</w:t>
            </w:r>
          </w:p>
          <w:p w14:paraId="67FA1904" w14:textId="3FB43536" w:rsidR="00366DC4" w:rsidRPr="00FB193A" w:rsidRDefault="00366DC4" w:rsidP="00366DC4">
            <w:pPr>
              <w:rPr>
                <w:bCs/>
                <w:lang w:val="fr-CA"/>
              </w:rPr>
            </w:pPr>
            <w:r w:rsidRPr="00FB193A">
              <w:rPr>
                <w:bCs/>
                <w:lang w:val="fr-CA"/>
              </w:rPr>
              <w:t xml:space="preserve">(a) </w:t>
            </w:r>
            <w:r w:rsidR="00875141" w:rsidRPr="00FB193A">
              <w:rPr>
                <w:bCs/>
                <w:lang w:val="fr-CA"/>
              </w:rPr>
              <w:t>le véhicule, y compris la partie contenant des explosifs, est verrouillé;</w:t>
            </w:r>
          </w:p>
          <w:p w14:paraId="5EB401D6" w14:textId="2D829492" w:rsidR="00366DC4" w:rsidRPr="00FB193A" w:rsidRDefault="00366DC4" w:rsidP="00366DC4">
            <w:pPr>
              <w:rPr>
                <w:bCs/>
                <w:lang w:val="fr-CA"/>
              </w:rPr>
            </w:pPr>
            <w:r w:rsidRPr="00FB193A">
              <w:rPr>
                <w:bCs/>
                <w:lang w:val="fr-CA"/>
              </w:rPr>
              <w:t xml:space="preserve">(b) </w:t>
            </w:r>
            <w:r w:rsidR="00875141" w:rsidRPr="00FB193A">
              <w:rPr>
                <w:bCs/>
                <w:lang w:val="fr-CA"/>
              </w:rPr>
              <w:t>le véhicule est garé dans un endroit sécurisé dont l’accès est contrôlé;</w:t>
            </w:r>
          </w:p>
          <w:p w14:paraId="27289995" w14:textId="72F75228" w:rsidR="00366DC4" w:rsidRPr="00FB193A" w:rsidRDefault="00366DC4" w:rsidP="00366DC4">
            <w:pPr>
              <w:rPr>
                <w:bCs/>
                <w:lang w:val="fr-CA"/>
              </w:rPr>
            </w:pPr>
            <w:r w:rsidRPr="00FB193A">
              <w:rPr>
                <w:bCs/>
                <w:lang w:val="fr-CA"/>
              </w:rPr>
              <w:t xml:space="preserve">(c) </w:t>
            </w:r>
            <w:r w:rsidR="00875141" w:rsidRPr="00FB193A">
              <w:rPr>
                <w:bCs/>
                <w:lang w:val="fr-CA"/>
              </w:rPr>
              <w:t>le véhicule, y compris la partie contenant des explosifs, est sous surveillance vidéo;</w:t>
            </w:r>
          </w:p>
          <w:p w14:paraId="54151153" w14:textId="0BFFFFBF" w:rsidR="00366DC4" w:rsidRPr="00FB193A" w:rsidRDefault="00366DC4" w:rsidP="00366DC4">
            <w:pPr>
              <w:rPr>
                <w:bCs/>
                <w:lang w:val="fr-CA"/>
              </w:rPr>
            </w:pPr>
            <w:r w:rsidRPr="00FB193A">
              <w:rPr>
                <w:bCs/>
                <w:lang w:val="fr-CA"/>
              </w:rPr>
              <w:lastRenderedPageBreak/>
              <w:t xml:space="preserve">(d) </w:t>
            </w:r>
            <w:r w:rsidR="00875141" w:rsidRPr="00FB193A">
              <w:rPr>
                <w:bCs/>
                <w:lang w:val="fr-CA"/>
              </w:rPr>
              <w:t>le véhicule est muni d’un dispositif ou d’un système faisant en sorte qu’il sera immobilisé et qu’une alarme alertera le conducteur et le transporteur en cas de tentative de vol des explosifs ou du véhicule ou de tentative de manipulation non autorisée du véhicule;</w:t>
            </w:r>
          </w:p>
          <w:p w14:paraId="74A067D5" w14:textId="45FEF1A2" w:rsidR="00C36868" w:rsidRPr="00FB193A" w:rsidRDefault="00366DC4" w:rsidP="00C36868">
            <w:pPr>
              <w:rPr>
                <w:b/>
                <w:lang w:val="fr-CA"/>
              </w:rPr>
            </w:pPr>
            <w:r w:rsidRPr="00FB193A">
              <w:rPr>
                <w:bCs/>
                <w:lang w:val="fr-CA"/>
              </w:rPr>
              <w:t xml:space="preserve">(e) </w:t>
            </w:r>
            <w:r w:rsidR="00C36868" w:rsidRPr="00FB193A">
              <w:rPr>
                <w:bCs/>
                <w:lang w:val="fr-CA"/>
              </w:rPr>
              <w:t>en cas d’urgence, le conducteur ou le transporteur communique avec les autorités compétentes dès que possible.</w:t>
            </w:r>
          </w:p>
          <w:p w14:paraId="4218AD45" w14:textId="7459AD92" w:rsidR="004C75B8" w:rsidRPr="00FB193A" w:rsidRDefault="004C75B8" w:rsidP="00366DC4">
            <w:pPr>
              <w:rPr>
                <w:b/>
                <w:lang w:val="fr-CA"/>
              </w:rPr>
            </w:pPr>
          </w:p>
        </w:tc>
        <w:tc>
          <w:tcPr>
            <w:tcW w:w="3543" w:type="dxa"/>
          </w:tcPr>
          <w:p w14:paraId="5103D2A0" w14:textId="159EC62B" w:rsidR="004C75B8" w:rsidRPr="00FB193A" w:rsidRDefault="00C36868" w:rsidP="00813D8D">
            <w:pPr>
              <w:rPr>
                <w:lang w:val="fr-CA"/>
              </w:rPr>
            </w:pPr>
            <w:r w:rsidRPr="00FB193A">
              <w:rPr>
                <w:lang w:val="fr-CA"/>
              </w:rPr>
              <w:lastRenderedPageBreak/>
              <w:t>Modifier le paragraphe </w:t>
            </w:r>
            <w:r w:rsidR="004C75B8" w:rsidRPr="00FB193A">
              <w:rPr>
                <w:lang w:val="fr-CA"/>
              </w:rPr>
              <w:t xml:space="preserve">199(4) </w:t>
            </w:r>
            <w:r w:rsidRPr="00FB193A">
              <w:rPr>
                <w:lang w:val="fr-CA"/>
              </w:rPr>
              <w:t xml:space="preserve">de manière à ce que la surveillance électronique soit limitée aux </w:t>
            </w:r>
            <w:r w:rsidR="00074131" w:rsidRPr="00FB193A">
              <w:rPr>
                <w:lang w:val="fr-CA"/>
              </w:rPr>
              <w:t>citernes transportant des matières portant les numéros UN</w:t>
            </w:r>
            <w:r w:rsidRPr="00FB193A">
              <w:rPr>
                <w:lang w:val="fr-CA"/>
              </w:rPr>
              <w:t xml:space="preserve">3375 et </w:t>
            </w:r>
            <w:r w:rsidR="00074131" w:rsidRPr="00FB193A">
              <w:rPr>
                <w:lang w:val="fr-CA"/>
              </w:rPr>
              <w:t>UN</w:t>
            </w:r>
            <w:r w:rsidRPr="00FB193A">
              <w:rPr>
                <w:lang w:val="fr-CA"/>
              </w:rPr>
              <w:t>0332. Le texte proposé figure ci-dessous</w:t>
            </w:r>
            <w:r w:rsidR="00074131" w:rsidRPr="00FB193A">
              <w:rPr>
                <w:lang w:val="fr-CA"/>
              </w:rPr>
              <w:t> </w:t>
            </w:r>
            <w:r w:rsidRPr="00FB193A">
              <w:rPr>
                <w:lang w:val="fr-CA"/>
              </w:rPr>
              <w:t>:</w:t>
            </w:r>
          </w:p>
          <w:p w14:paraId="0D8210C3" w14:textId="77777777" w:rsidR="001861FE" w:rsidRPr="00FB193A" w:rsidRDefault="001861FE" w:rsidP="00813D8D">
            <w:pPr>
              <w:rPr>
                <w:lang w:val="fr-CA"/>
              </w:rPr>
            </w:pPr>
          </w:p>
          <w:p w14:paraId="2A5B058F" w14:textId="29BAF8E2" w:rsidR="001861FE" w:rsidRPr="00FB193A" w:rsidRDefault="001861FE" w:rsidP="001861FE">
            <w:pPr>
              <w:rPr>
                <w:lang w:val="fr-CA"/>
              </w:rPr>
            </w:pPr>
            <w:r w:rsidRPr="00FB193A">
              <w:rPr>
                <w:lang w:val="fr-CA"/>
              </w:rPr>
              <w:t xml:space="preserve">199 (4) </w:t>
            </w:r>
            <w:r w:rsidR="00E77C26" w:rsidRPr="00FB193A">
              <w:rPr>
                <w:lang w:val="fr-CA"/>
              </w:rPr>
              <w:t>Un véhicule contenant des émulsions et des explosifs à base d'eau transportés dans des citernes peut être surveillé par une personne à l’aide de moyens électroniques si les exigences suivantes sont respectées :</w:t>
            </w:r>
          </w:p>
          <w:p w14:paraId="00F0F773" w14:textId="5EECE105" w:rsidR="001861FE" w:rsidRPr="00FB193A" w:rsidRDefault="001861FE" w:rsidP="001861FE">
            <w:pPr>
              <w:rPr>
                <w:lang w:val="fr-CA"/>
              </w:rPr>
            </w:pPr>
            <w:r w:rsidRPr="00FB193A">
              <w:rPr>
                <w:lang w:val="fr-CA"/>
              </w:rPr>
              <w:lastRenderedPageBreak/>
              <w:t xml:space="preserve">(a) </w:t>
            </w:r>
            <w:r w:rsidR="00E77C26" w:rsidRPr="00FB193A">
              <w:rPr>
                <w:bCs/>
                <w:lang w:val="fr-CA"/>
              </w:rPr>
              <w:t>le véhicule, y compris la partie contenant des explosifs, est verrouillé;</w:t>
            </w:r>
          </w:p>
          <w:p w14:paraId="3751A89B" w14:textId="2175EDFC" w:rsidR="001861FE" w:rsidRPr="00FB193A" w:rsidRDefault="001861FE" w:rsidP="001861FE">
            <w:pPr>
              <w:rPr>
                <w:lang w:val="fr-CA"/>
              </w:rPr>
            </w:pPr>
            <w:r w:rsidRPr="00FB193A">
              <w:rPr>
                <w:lang w:val="fr-CA"/>
              </w:rPr>
              <w:t xml:space="preserve">(b) </w:t>
            </w:r>
            <w:r w:rsidR="00E77C26" w:rsidRPr="00FB193A">
              <w:rPr>
                <w:lang w:val="fr-CA"/>
              </w:rPr>
              <w:t>le véhicule est garé dans un endroit sécurisé, est surveillé par un système vidéo et est muni d'un dispositif ou d'un système garantissant qu’il est immobilisé;</w:t>
            </w:r>
          </w:p>
          <w:p w14:paraId="52BE1421" w14:textId="71F8251F" w:rsidR="001861FE" w:rsidRPr="00FB193A" w:rsidRDefault="001861FE" w:rsidP="001861FE">
            <w:pPr>
              <w:rPr>
                <w:lang w:val="fr-CA"/>
              </w:rPr>
            </w:pPr>
            <w:r w:rsidRPr="00FB193A">
              <w:rPr>
                <w:lang w:val="fr-CA"/>
              </w:rPr>
              <w:t xml:space="preserve">(c) </w:t>
            </w:r>
            <w:r w:rsidR="00E77C26" w:rsidRPr="00FB193A">
              <w:rPr>
                <w:lang w:val="fr-CA"/>
              </w:rPr>
              <w:t xml:space="preserve">le véhicule est muni d’une alarme qui alertera le conducteur </w:t>
            </w:r>
            <w:r w:rsidR="00E77C26" w:rsidRPr="00FB193A">
              <w:rPr>
                <w:bCs/>
                <w:lang w:val="fr-CA"/>
              </w:rPr>
              <w:t>et le transporteur en cas de tentative de vol des explosifs ou du véhicule ou de tentative de manipulation non autorisée du véhicule;</w:t>
            </w:r>
          </w:p>
          <w:p w14:paraId="47BBFDEB" w14:textId="4410295B" w:rsidR="001861FE" w:rsidRPr="00FB193A" w:rsidRDefault="001861FE" w:rsidP="001861FE">
            <w:pPr>
              <w:rPr>
                <w:lang w:val="fr-CA"/>
              </w:rPr>
            </w:pPr>
            <w:r w:rsidRPr="00FB193A">
              <w:rPr>
                <w:lang w:val="fr-CA"/>
              </w:rPr>
              <w:t xml:space="preserve">(d) </w:t>
            </w:r>
            <w:r w:rsidR="00E77C26" w:rsidRPr="00FB193A">
              <w:rPr>
                <w:bCs/>
                <w:lang w:val="fr-CA"/>
              </w:rPr>
              <w:t>en cas d’urgence, le conducteur ou le transporteur communique avec les autorités compétentes dès que possible.</w:t>
            </w:r>
          </w:p>
        </w:tc>
        <w:tc>
          <w:tcPr>
            <w:tcW w:w="3828" w:type="dxa"/>
          </w:tcPr>
          <w:p w14:paraId="1208EFA6" w14:textId="353D8696" w:rsidR="004C75B8" w:rsidRPr="00FB193A" w:rsidRDefault="00EB63C2" w:rsidP="006F65CE">
            <w:pPr>
              <w:rPr>
                <w:lang w:val="fr-CA"/>
              </w:rPr>
            </w:pPr>
            <w:r w:rsidRPr="00FB193A">
              <w:rPr>
                <w:lang w:val="fr-CA"/>
              </w:rPr>
              <w:lastRenderedPageBreak/>
              <w:t xml:space="preserve">Les commentaires reçus indiquent que les exigences proposées sont trop onéreuses et peu pratiques et qu'elles seraient difficiles à mettre en œuvre. Les principales préoccupations exprimées concernaient la surveillance et l'aire de stationnement à accès contrôlé dans la proposition. L'abandon de l'obligation pour une personne de surveiller en permanence un flux vidéo, ainsi que l'abandon de l'obligation de disposer d'un lieu à accès contrôlé, ne seraient pas acceptables pour tous les explosifs. Par conséquent, la </w:t>
            </w:r>
            <w:r w:rsidRPr="00FB193A">
              <w:rPr>
                <w:lang w:val="fr-CA"/>
              </w:rPr>
              <w:lastRenderedPageBreak/>
              <w:t xml:space="preserve">proposition est modifiée </w:t>
            </w:r>
            <w:proofErr w:type="gramStart"/>
            <w:r w:rsidR="0074117D" w:rsidRPr="00FB193A">
              <w:rPr>
                <w:lang w:val="fr-CA"/>
              </w:rPr>
              <w:t>de manière à ce</w:t>
            </w:r>
            <w:proofErr w:type="gramEnd"/>
            <w:r w:rsidR="0074117D" w:rsidRPr="00FB193A">
              <w:rPr>
                <w:lang w:val="fr-CA"/>
              </w:rPr>
              <w:t xml:space="preserve"> que la surveillance électronique se limite </w:t>
            </w:r>
            <w:r w:rsidRPr="00FB193A">
              <w:rPr>
                <w:lang w:val="fr-CA"/>
              </w:rPr>
              <w:t>aux émulsions et aux explosifs à base d'eau.</w:t>
            </w:r>
            <w:r w:rsidR="006F65CE" w:rsidRPr="00FB193A">
              <w:rPr>
                <w:lang w:val="fr-CA"/>
              </w:rPr>
              <w:t xml:space="preserve"> </w:t>
            </w:r>
          </w:p>
        </w:tc>
        <w:tc>
          <w:tcPr>
            <w:tcW w:w="3827" w:type="dxa"/>
          </w:tcPr>
          <w:p w14:paraId="7BDE6D85" w14:textId="77777777" w:rsidR="004C75B8" w:rsidRPr="00FB193A" w:rsidRDefault="004C75B8" w:rsidP="001F6E34">
            <w:pPr>
              <w:rPr>
                <w:lang w:val="fr-CA"/>
              </w:rPr>
            </w:pPr>
          </w:p>
        </w:tc>
      </w:tr>
      <w:tr w:rsidR="00EE6DE2" w:rsidRPr="00954022" w14:paraId="343C7C9F" w14:textId="77777777" w:rsidTr="000B347E">
        <w:tc>
          <w:tcPr>
            <w:tcW w:w="1284" w:type="dxa"/>
          </w:tcPr>
          <w:p w14:paraId="4D20A75D" w14:textId="5E4213B9" w:rsidR="00EE6DE2" w:rsidRPr="00FB193A" w:rsidRDefault="00C1707F" w:rsidP="00E2607E">
            <w:pPr>
              <w:rPr>
                <w:lang w:val="fr-CA"/>
              </w:rPr>
            </w:pPr>
            <w:r w:rsidRPr="00FB193A">
              <w:rPr>
                <w:lang w:val="fr-CA"/>
              </w:rPr>
              <w:t xml:space="preserve"># 58 </w:t>
            </w:r>
            <w:r w:rsidR="0074117D" w:rsidRPr="00FB193A">
              <w:rPr>
                <w:lang w:val="fr-CA"/>
              </w:rPr>
              <w:t>modifications aux articles 200 et 201</w:t>
            </w:r>
          </w:p>
        </w:tc>
        <w:tc>
          <w:tcPr>
            <w:tcW w:w="3673" w:type="dxa"/>
          </w:tcPr>
          <w:p w14:paraId="03C6B40C" w14:textId="2D86D84E" w:rsidR="00EE6DE2" w:rsidRPr="00FB193A" w:rsidRDefault="009D352B" w:rsidP="00C13865">
            <w:pPr>
              <w:rPr>
                <w:b/>
                <w:lang w:val="fr-CA"/>
              </w:rPr>
            </w:pPr>
            <w:r w:rsidRPr="00FB193A">
              <w:rPr>
                <w:b/>
                <w:lang w:val="fr-CA"/>
              </w:rPr>
              <w:t xml:space="preserve">Accidents </w:t>
            </w:r>
            <w:r w:rsidR="0074117D" w:rsidRPr="00FB193A">
              <w:rPr>
                <w:b/>
                <w:lang w:val="fr-CA"/>
              </w:rPr>
              <w:t>et incidents</w:t>
            </w:r>
          </w:p>
          <w:p w14:paraId="7B03D53D" w14:textId="6DE4FD31" w:rsidR="009D352B" w:rsidRPr="00FB193A" w:rsidRDefault="009D352B" w:rsidP="009D352B">
            <w:pPr>
              <w:rPr>
                <w:bCs/>
                <w:lang w:val="fr-CA"/>
              </w:rPr>
            </w:pPr>
            <w:r w:rsidRPr="00FB193A">
              <w:rPr>
                <w:bCs/>
                <w:lang w:val="fr-CA"/>
              </w:rPr>
              <w:t xml:space="preserve">201 (1) </w:t>
            </w:r>
            <w:r w:rsidR="009028FC" w:rsidRPr="00FB193A">
              <w:rPr>
                <w:bCs/>
                <w:lang w:val="fr-CA"/>
              </w:rPr>
              <w:t>Le conducteur d’un véhicule contenant des explosifs est tenu dès que possible :</w:t>
            </w:r>
          </w:p>
          <w:p w14:paraId="4E877361" w14:textId="3E157B5C" w:rsidR="009D352B" w:rsidRPr="00FB193A" w:rsidRDefault="009D352B" w:rsidP="009D352B">
            <w:pPr>
              <w:rPr>
                <w:bCs/>
                <w:lang w:val="fr-CA"/>
              </w:rPr>
            </w:pPr>
            <w:r w:rsidRPr="00FB193A">
              <w:rPr>
                <w:bCs/>
                <w:lang w:val="fr-CA"/>
              </w:rPr>
              <w:t xml:space="preserve">(a) </w:t>
            </w:r>
            <w:r w:rsidR="009028FC" w:rsidRPr="00FB193A">
              <w:rPr>
                <w:bCs/>
                <w:lang w:val="fr-CA"/>
              </w:rPr>
              <w:t>d’aviser l’expéditeur et le transporteur si le véhicule est retardé pour quelque raison que ce soit, notamment en raison des conditions routières ou de problèmes mécaniques;</w:t>
            </w:r>
          </w:p>
          <w:p w14:paraId="418E1BAE" w14:textId="769CD3D7" w:rsidR="009D352B" w:rsidRPr="00FB193A" w:rsidRDefault="009D352B" w:rsidP="009D352B">
            <w:pPr>
              <w:rPr>
                <w:bCs/>
                <w:lang w:val="fr-CA"/>
              </w:rPr>
            </w:pPr>
            <w:r w:rsidRPr="00FB193A">
              <w:rPr>
                <w:bCs/>
                <w:lang w:val="fr-CA"/>
              </w:rPr>
              <w:t xml:space="preserve">(b) </w:t>
            </w:r>
            <w:r w:rsidR="009028FC" w:rsidRPr="00FB193A">
              <w:rPr>
                <w:bCs/>
                <w:lang w:val="fr-CA"/>
              </w:rPr>
              <w:t xml:space="preserve">d’avertir la police, l’expéditeur et le transporteur si le véhicule est en </w:t>
            </w:r>
            <w:r w:rsidR="009028FC" w:rsidRPr="00FB193A">
              <w:rPr>
                <w:bCs/>
                <w:lang w:val="fr-CA"/>
              </w:rPr>
              <w:lastRenderedPageBreak/>
              <w:t>cause dans un accident de la route ou un incident qui entraîne l’une des conséquences suivantes :</w:t>
            </w:r>
          </w:p>
          <w:p w14:paraId="03C8BFF3" w14:textId="11B20B59" w:rsidR="009D352B" w:rsidRPr="00FB193A" w:rsidRDefault="009D352B" w:rsidP="009D352B">
            <w:pPr>
              <w:ind w:left="720"/>
              <w:rPr>
                <w:bCs/>
                <w:lang w:val="fr-CA"/>
              </w:rPr>
            </w:pPr>
            <w:r w:rsidRPr="00FB193A">
              <w:rPr>
                <w:bCs/>
                <w:lang w:val="fr-CA"/>
              </w:rPr>
              <w:t xml:space="preserve">(i) </w:t>
            </w:r>
            <w:r w:rsidR="009028FC" w:rsidRPr="00FB193A">
              <w:rPr>
                <w:bCs/>
                <w:lang w:val="fr-CA"/>
              </w:rPr>
              <w:t>le vol, la tentative de vol ou la perte d’un explosif,</w:t>
            </w:r>
          </w:p>
          <w:p w14:paraId="477889AB" w14:textId="6FA65EDE" w:rsidR="009D352B" w:rsidRPr="00FB193A" w:rsidRDefault="009D352B" w:rsidP="009D352B">
            <w:pPr>
              <w:ind w:left="720"/>
              <w:rPr>
                <w:bCs/>
                <w:lang w:val="fr-CA"/>
              </w:rPr>
            </w:pPr>
            <w:r w:rsidRPr="00FB193A">
              <w:rPr>
                <w:bCs/>
                <w:lang w:val="fr-CA"/>
              </w:rPr>
              <w:t xml:space="preserve">(ii) </w:t>
            </w:r>
            <w:r w:rsidR="009028FC" w:rsidRPr="00FB193A">
              <w:rPr>
                <w:bCs/>
                <w:lang w:val="fr-CA"/>
              </w:rPr>
              <w:t>un incendie, un rejet, un rejet appréhendé ou une explosion accidentelle,</w:t>
            </w:r>
          </w:p>
          <w:p w14:paraId="76464E64" w14:textId="77777777" w:rsidR="009D352B" w:rsidRPr="00FB193A" w:rsidRDefault="009D352B" w:rsidP="009D352B">
            <w:pPr>
              <w:ind w:left="720"/>
              <w:rPr>
                <w:bCs/>
                <w:lang w:val="fr-CA"/>
              </w:rPr>
            </w:pPr>
            <w:r w:rsidRPr="00FB193A">
              <w:rPr>
                <w:bCs/>
                <w:lang w:val="fr-CA"/>
              </w:rPr>
              <w:t>explosion,</w:t>
            </w:r>
          </w:p>
          <w:p w14:paraId="023A5A67" w14:textId="391B643F" w:rsidR="009D352B" w:rsidRPr="00FB193A" w:rsidRDefault="009D352B" w:rsidP="009D352B">
            <w:pPr>
              <w:ind w:left="720"/>
              <w:rPr>
                <w:bCs/>
                <w:lang w:val="fr-CA"/>
              </w:rPr>
            </w:pPr>
            <w:r w:rsidRPr="00FB193A">
              <w:rPr>
                <w:bCs/>
                <w:lang w:val="fr-CA"/>
              </w:rPr>
              <w:t xml:space="preserve">(iii) </w:t>
            </w:r>
            <w:r w:rsidR="009028FC" w:rsidRPr="00FB193A">
              <w:rPr>
                <w:bCs/>
                <w:lang w:val="fr-CA"/>
              </w:rPr>
              <w:t>une blessure ou un décès,</w:t>
            </w:r>
          </w:p>
          <w:p w14:paraId="5443033D" w14:textId="23BC1C89" w:rsidR="009D352B" w:rsidRPr="00FB193A" w:rsidRDefault="009D352B" w:rsidP="009D352B">
            <w:pPr>
              <w:ind w:left="720"/>
              <w:rPr>
                <w:bCs/>
                <w:lang w:val="fr-CA"/>
              </w:rPr>
            </w:pPr>
            <w:r w:rsidRPr="00FB193A">
              <w:rPr>
                <w:bCs/>
                <w:lang w:val="fr-CA"/>
              </w:rPr>
              <w:t xml:space="preserve">(iv) </w:t>
            </w:r>
            <w:r w:rsidR="009028FC" w:rsidRPr="00FB193A">
              <w:rPr>
                <w:bCs/>
                <w:lang w:val="fr-CA"/>
              </w:rPr>
              <w:t>tout dommage causé accidentellement aux biens ou au véhicule.</w:t>
            </w:r>
          </w:p>
          <w:p w14:paraId="1877E5CC" w14:textId="77777777" w:rsidR="006958E3" w:rsidRPr="00FB193A" w:rsidRDefault="006958E3" w:rsidP="006958E3">
            <w:pPr>
              <w:rPr>
                <w:b/>
                <w:lang w:val="fr-CA"/>
              </w:rPr>
            </w:pPr>
          </w:p>
          <w:p w14:paraId="7C306D61" w14:textId="49B02017" w:rsidR="006958E3" w:rsidRPr="00FB193A" w:rsidRDefault="009028FC" w:rsidP="006958E3">
            <w:pPr>
              <w:rPr>
                <w:b/>
                <w:lang w:val="fr-CA"/>
              </w:rPr>
            </w:pPr>
            <w:r w:rsidRPr="00FB193A">
              <w:rPr>
                <w:b/>
                <w:lang w:val="fr-CA"/>
              </w:rPr>
              <w:t>Signalement</w:t>
            </w:r>
          </w:p>
          <w:p w14:paraId="67ACAA61" w14:textId="049514C1" w:rsidR="006958E3" w:rsidRPr="00FB193A" w:rsidRDefault="006958E3" w:rsidP="006958E3">
            <w:pPr>
              <w:rPr>
                <w:bCs/>
                <w:lang w:val="fr-CA"/>
              </w:rPr>
            </w:pPr>
            <w:r w:rsidRPr="00FB193A">
              <w:rPr>
                <w:bCs/>
                <w:lang w:val="fr-CA"/>
              </w:rPr>
              <w:t xml:space="preserve">(2) </w:t>
            </w:r>
            <w:r w:rsidR="009028FC" w:rsidRPr="00FB193A">
              <w:rPr>
                <w:bCs/>
                <w:lang w:val="fr-CA"/>
              </w:rPr>
              <w:t>Dans le cas de l’accident ou de l’incident visé à l’alinéa (1)b), le transporteur est tenu dès que possible :</w:t>
            </w:r>
          </w:p>
          <w:p w14:paraId="661139D5" w14:textId="02B0F9D4" w:rsidR="006958E3" w:rsidRPr="00FB193A" w:rsidRDefault="006958E3" w:rsidP="006958E3">
            <w:pPr>
              <w:rPr>
                <w:bCs/>
                <w:lang w:val="fr-CA"/>
              </w:rPr>
            </w:pPr>
            <w:r w:rsidRPr="00FB193A">
              <w:rPr>
                <w:bCs/>
                <w:lang w:val="fr-CA"/>
              </w:rPr>
              <w:t xml:space="preserve">(a) </w:t>
            </w:r>
            <w:r w:rsidR="009028FC" w:rsidRPr="00FB193A">
              <w:rPr>
                <w:bCs/>
                <w:lang w:val="fr-CA"/>
              </w:rPr>
              <w:t>de signaler l’accident ou l’incident à un inspecteur;</w:t>
            </w:r>
          </w:p>
          <w:p w14:paraId="01C7014B" w14:textId="499303AA" w:rsidR="006958E3" w:rsidRPr="00FB193A" w:rsidRDefault="006958E3" w:rsidP="006958E3">
            <w:pPr>
              <w:rPr>
                <w:bCs/>
                <w:lang w:val="fr-CA"/>
              </w:rPr>
            </w:pPr>
            <w:r w:rsidRPr="00FB193A">
              <w:rPr>
                <w:bCs/>
                <w:lang w:val="fr-CA"/>
              </w:rPr>
              <w:t xml:space="preserve">(b) </w:t>
            </w:r>
            <w:r w:rsidR="009028FC" w:rsidRPr="00FB193A">
              <w:rPr>
                <w:bCs/>
                <w:lang w:val="fr-CA"/>
              </w:rPr>
              <w:t>de veiller à ce que les explosifs endommagés soient transportés à l’endroit désigné par le ministre;</w:t>
            </w:r>
          </w:p>
          <w:p w14:paraId="10B4749C" w14:textId="7410E77D" w:rsidR="006958E3" w:rsidRPr="00FB193A" w:rsidRDefault="006958E3" w:rsidP="006958E3">
            <w:pPr>
              <w:rPr>
                <w:bCs/>
                <w:lang w:val="fr-CA"/>
              </w:rPr>
            </w:pPr>
            <w:r w:rsidRPr="00FB193A">
              <w:rPr>
                <w:bCs/>
                <w:lang w:val="fr-CA"/>
              </w:rPr>
              <w:t xml:space="preserve">(c) </w:t>
            </w:r>
            <w:r w:rsidR="009028FC" w:rsidRPr="00FB193A">
              <w:rPr>
                <w:bCs/>
                <w:lang w:val="fr-CA"/>
              </w:rPr>
              <w:t>de veiller à ce que les explosifs non endommagés soient transportés à leur destination ou à un endroit sûr;</w:t>
            </w:r>
          </w:p>
          <w:p w14:paraId="38307C2E" w14:textId="17F9A035" w:rsidR="009028FC" w:rsidRPr="00FB193A" w:rsidRDefault="006958E3" w:rsidP="009028FC">
            <w:pPr>
              <w:rPr>
                <w:b/>
                <w:lang w:val="fr-CA"/>
              </w:rPr>
            </w:pPr>
            <w:r w:rsidRPr="00FB193A">
              <w:rPr>
                <w:bCs/>
                <w:lang w:val="fr-CA"/>
              </w:rPr>
              <w:t xml:space="preserve">(d) </w:t>
            </w:r>
            <w:r w:rsidR="009028FC" w:rsidRPr="00FB193A">
              <w:rPr>
                <w:bCs/>
                <w:lang w:val="fr-CA"/>
              </w:rPr>
              <w:t xml:space="preserve">de fournir à l’inspecteur en chef des explosifs un rapport écrit sur l’accident ou l’incident qui comprend </w:t>
            </w:r>
            <w:r w:rsidR="009028FC" w:rsidRPr="00FB193A">
              <w:rPr>
                <w:bCs/>
                <w:lang w:val="fr-CA"/>
              </w:rPr>
              <w:lastRenderedPageBreak/>
              <w:t>la cause probable de celui-ci et les mesures que le transporteur prendra pour éviter qu’un accident ou un incident de la même nature ne se reproduise.</w:t>
            </w:r>
          </w:p>
          <w:p w14:paraId="78C186C1" w14:textId="53D0CD25" w:rsidR="006958E3" w:rsidRPr="00FB193A" w:rsidRDefault="006958E3" w:rsidP="006958E3">
            <w:pPr>
              <w:rPr>
                <w:b/>
                <w:lang w:val="fr-CA"/>
              </w:rPr>
            </w:pPr>
          </w:p>
        </w:tc>
        <w:tc>
          <w:tcPr>
            <w:tcW w:w="3543" w:type="dxa"/>
          </w:tcPr>
          <w:p w14:paraId="5C0DB085" w14:textId="5D3615CC" w:rsidR="00EE6DE2" w:rsidRPr="00FB193A" w:rsidRDefault="009028FC" w:rsidP="00813D8D">
            <w:pPr>
              <w:rPr>
                <w:lang w:val="fr-CA"/>
              </w:rPr>
            </w:pPr>
            <w:r w:rsidRPr="00FB193A">
              <w:rPr>
                <w:lang w:val="fr-CA"/>
              </w:rPr>
              <w:lastRenderedPageBreak/>
              <w:t xml:space="preserve">Modifier l’alinéa </w:t>
            </w:r>
            <w:r w:rsidR="006958E3" w:rsidRPr="00FB193A">
              <w:rPr>
                <w:lang w:val="fr-CA"/>
              </w:rPr>
              <w:t xml:space="preserve">201(2)d) </w:t>
            </w:r>
            <w:r w:rsidRPr="00FB193A">
              <w:rPr>
                <w:lang w:val="fr-CA"/>
              </w:rPr>
              <w:t>comme suit :</w:t>
            </w:r>
          </w:p>
          <w:p w14:paraId="13FAF1D6" w14:textId="77777777" w:rsidR="007605FA" w:rsidRPr="00FB193A" w:rsidRDefault="007605FA" w:rsidP="00813D8D">
            <w:pPr>
              <w:rPr>
                <w:lang w:val="fr-CA"/>
              </w:rPr>
            </w:pPr>
          </w:p>
          <w:p w14:paraId="335B9080" w14:textId="41A57640" w:rsidR="007605FA" w:rsidRPr="00FB193A" w:rsidRDefault="007605FA" w:rsidP="00813D8D">
            <w:pPr>
              <w:rPr>
                <w:lang w:val="fr-CA"/>
              </w:rPr>
            </w:pPr>
            <w:r w:rsidRPr="00FB193A">
              <w:rPr>
                <w:lang w:val="fr-CA"/>
              </w:rPr>
              <w:t xml:space="preserve">(d) </w:t>
            </w:r>
            <w:r w:rsidR="009028FC" w:rsidRPr="00FB193A">
              <w:rPr>
                <w:bCs/>
                <w:lang w:val="fr-CA"/>
              </w:rPr>
              <w:t xml:space="preserve">de fournir à l’inspecteur en chef des explosifs un rapport écrit sur l’accident ou l’incident décrit au sous-alinéa 201(1)b)(i), (ii) ou (iii) qui comprend la cause probable de celui-ci et les mesures que le transporteur prendra pour éviter qu’un accident ou un incident de la même nature ne se reproduise. </w:t>
            </w:r>
          </w:p>
        </w:tc>
        <w:tc>
          <w:tcPr>
            <w:tcW w:w="3828" w:type="dxa"/>
          </w:tcPr>
          <w:p w14:paraId="5AC3580A" w14:textId="511268DA" w:rsidR="00EE6DE2" w:rsidRPr="00FB193A" w:rsidRDefault="009028FC" w:rsidP="006958E3">
            <w:pPr>
              <w:rPr>
                <w:lang w:val="fr-CA"/>
              </w:rPr>
            </w:pPr>
            <w:r w:rsidRPr="00FB193A">
              <w:rPr>
                <w:lang w:val="fr-CA"/>
              </w:rPr>
              <w:t>Les commentaires reçus indiquent que la modification proposée est trop onéreuse et qu'elle n'est pas nécessaire aux fins de l'enquête sur l'incident. Il a été établi qu'un rapport écrit formel concernant les dommages causés au véhicule, tels que l'éclatement des pneus ou les accrochages, n'</w:t>
            </w:r>
            <w:r w:rsidR="00E02EEB" w:rsidRPr="00FB193A">
              <w:rPr>
                <w:lang w:val="fr-CA"/>
              </w:rPr>
              <w:t xml:space="preserve">est pas nécessaire </w:t>
            </w:r>
            <w:r w:rsidRPr="00FB193A">
              <w:rPr>
                <w:lang w:val="fr-CA"/>
              </w:rPr>
              <w:t>et que, conformément à l'alinéa 201(2)a), l'incident serait tou</w:t>
            </w:r>
            <w:r w:rsidR="00E02EEB" w:rsidRPr="00FB193A">
              <w:rPr>
                <w:lang w:val="fr-CA"/>
              </w:rPr>
              <w:t>t de même</w:t>
            </w:r>
            <w:r w:rsidRPr="00FB193A">
              <w:rPr>
                <w:lang w:val="fr-CA"/>
              </w:rPr>
              <w:t xml:space="preserve"> signalé à un inspecteur.</w:t>
            </w:r>
            <w:r w:rsidR="006958E3" w:rsidRPr="00FB193A">
              <w:rPr>
                <w:lang w:val="fr-CA"/>
              </w:rPr>
              <w:t xml:space="preserve"> </w:t>
            </w:r>
          </w:p>
        </w:tc>
        <w:tc>
          <w:tcPr>
            <w:tcW w:w="3827" w:type="dxa"/>
          </w:tcPr>
          <w:p w14:paraId="131553CC" w14:textId="77777777" w:rsidR="00EE6DE2" w:rsidRPr="00FB193A" w:rsidRDefault="00EE6DE2" w:rsidP="001F6E34">
            <w:pPr>
              <w:rPr>
                <w:lang w:val="fr-CA"/>
              </w:rPr>
            </w:pPr>
          </w:p>
        </w:tc>
      </w:tr>
      <w:tr w:rsidR="00060ED1" w:rsidRPr="00954022" w14:paraId="1BB872D7" w14:textId="77777777" w:rsidTr="000B347E">
        <w:tc>
          <w:tcPr>
            <w:tcW w:w="1284" w:type="dxa"/>
          </w:tcPr>
          <w:p w14:paraId="4DC3A63F" w14:textId="7DBFFB4E" w:rsidR="00060ED1" w:rsidRPr="00FB193A" w:rsidRDefault="00060ED1" w:rsidP="00E2607E">
            <w:pPr>
              <w:rPr>
                <w:lang w:val="fr-CA"/>
              </w:rPr>
            </w:pPr>
            <w:r w:rsidRPr="00FB193A">
              <w:rPr>
                <w:lang w:val="fr-CA"/>
              </w:rPr>
              <w:lastRenderedPageBreak/>
              <w:t># 73</w:t>
            </w:r>
          </w:p>
        </w:tc>
        <w:tc>
          <w:tcPr>
            <w:tcW w:w="3673" w:type="dxa"/>
          </w:tcPr>
          <w:p w14:paraId="5278A3E3" w14:textId="14F8D1FF" w:rsidR="00324E76" w:rsidRPr="00FB193A" w:rsidRDefault="005E6932" w:rsidP="00C13865">
            <w:pPr>
              <w:rPr>
                <w:b/>
                <w:lang w:val="fr-CA"/>
              </w:rPr>
            </w:pPr>
            <w:r w:rsidRPr="00FB193A">
              <w:rPr>
                <w:b/>
                <w:lang w:val="fr-CA"/>
              </w:rPr>
              <w:t>Cibles réactives</w:t>
            </w:r>
          </w:p>
          <w:p w14:paraId="6FCB2C99" w14:textId="7FEEDEA7" w:rsidR="005E6932" w:rsidRPr="00FB193A" w:rsidRDefault="002A7B03" w:rsidP="005E6932">
            <w:pPr>
              <w:rPr>
                <w:bCs/>
                <w:lang w:val="fr-CA"/>
              </w:rPr>
            </w:pPr>
            <w:r w:rsidRPr="00FB193A">
              <w:rPr>
                <w:b/>
                <w:lang w:val="fr-CA"/>
              </w:rPr>
              <w:t xml:space="preserve">264(2) </w:t>
            </w:r>
            <w:r w:rsidR="005E6932" w:rsidRPr="00FB193A">
              <w:rPr>
                <w:bCs/>
                <w:lang w:val="fr-CA"/>
              </w:rPr>
              <w:t>Au plus 5 kg de cibles réactives peuvent être stockées à tout moment.</w:t>
            </w:r>
          </w:p>
          <w:p w14:paraId="65CD9521" w14:textId="51DDD814" w:rsidR="00060ED1" w:rsidRPr="00FB193A" w:rsidRDefault="00060ED1" w:rsidP="00324E76">
            <w:pPr>
              <w:rPr>
                <w:bCs/>
                <w:lang w:val="fr-CA"/>
              </w:rPr>
            </w:pPr>
          </w:p>
        </w:tc>
        <w:tc>
          <w:tcPr>
            <w:tcW w:w="3543" w:type="dxa"/>
          </w:tcPr>
          <w:p w14:paraId="1ADEEF74" w14:textId="0BD7DB59" w:rsidR="00060ED1" w:rsidRPr="00FB193A" w:rsidRDefault="005E6932" w:rsidP="00813D8D">
            <w:pPr>
              <w:rPr>
                <w:lang w:val="fr-CA"/>
              </w:rPr>
            </w:pPr>
            <w:r w:rsidRPr="00FB193A">
              <w:rPr>
                <w:lang w:val="fr-CA"/>
              </w:rPr>
              <w:t>Modifier la limite de stockage sans licence de cibles réactives de 5 kg à 6 kg.</w:t>
            </w:r>
          </w:p>
        </w:tc>
        <w:tc>
          <w:tcPr>
            <w:tcW w:w="3828" w:type="dxa"/>
          </w:tcPr>
          <w:p w14:paraId="3AC649C7" w14:textId="3C56E3EE" w:rsidR="005E6932" w:rsidRPr="00FB193A" w:rsidRDefault="005E6932" w:rsidP="005E6932">
            <w:pPr>
              <w:rPr>
                <w:lang w:val="fr-CA"/>
              </w:rPr>
            </w:pPr>
            <w:r w:rsidRPr="00FB193A">
              <w:rPr>
                <w:lang w:val="fr-CA"/>
              </w:rPr>
              <w:t xml:space="preserve">Les </w:t>
            </w:r>
            <w:r w:rsidR="000029AB">
              <w:rPr>
                <w:lang w:val="fr-CA"/>
              </w:rPr>
              <w:t xml:space="preserve">emballages de </w:t>
            </w:r>
            <w:r w:rsidRPr="00FB193A">
              <w:rPr>
                <w:lang w:val="fr-CA"/>
              </w:rPr>
              <w:t xml:space="preserve">cibles réactives standard </w:t>
            </w:r>
            <w:r w:rsidR="000029AB">
              <w:rPr>
                <w:lang w:val="fr-CA"/>
              </w:rPr>
              <w:t>vendues</w:t>
            </w:r>
            <w:r w:rsidRPr="00FB193A">
              <w:rPr>
                <w:lang w:val="fr-CA"/>
              </w:rPr>
              <w:t xml:space="preserve"> au Canada pèsent 5,44 kg.</w:t>
            </w:r>
          </w:p>
          <w:p w14:paraId="7594EE28" w14:textId="1CA5AF6F" w:rsidR="00060ED1" w:rsidRPr="00FB193A" w:rsidRDefault="005E6932" w:rsidP="005E6932">
            <w:pPr>
              <w:rPr>
                <w:lang w:val="fr-CA"/>
              </w:rPr>
            </w:pPr>
            <w:r w:rsidRPr="00FB193A">
              <w:rPr>
                <w:lang w:val="fr-CA"/>
              </w:rPr>
              <w:t>La proposition visait à réduire les limites de stockage à des fins de sécurité, et non à obliger les fabricants à modifier les emballages.</w:t>
            </w:r>
          </w:p>
        </w:tc>
        <w:tc>
          <w:tcPr>
            <w:tcW w:w="3827" w:type="dxa"/>
          </w:tcPr>
          <w:p w14:paraId="6D817D7F" w14:textId="77777777" w:rsidR="00060ED1" w:rsidRPr="00FB193A" w:rsidRDefault="00060ED1" w:rsidP="001F6E34">
            <w:pPr>
              <w:rPr>
                <w:lang w:val="fr-CA"/>
              </w:rPr>
            </w:pPr>
          </w:p>
        </w:tc>
      </w:tr>
      <w:tr w:rsidR="000B3251" w:rsidRPr="00954022" w14:paraId="49F3C83C" w14:textId="77777777" w:rsidTr="000B347E">
        <w:tc>
          <w:tcPr>
            <w:tcW w:w="1284" w:type="dxa"/>
          </w:tcPr>
          <w:p w14:paraId="66CD969A" w14:textId="508F51FD" w:rsidR="000B3251" w:rsidRPr="00FB193A" w:rsidRDefault="000B3251" w:rsidP="00E2607E">
            <w:pPr>
              <w:rPr>
                <w:lang w:val="fr-CA"/>
              </w:rPr>
            </w:pPr>
            <w:r w:rsidRPr="00FB193A">
              <w:rPr>
                <w:lang w:val="fr-CA"/>
              </w:rPr>
              <w:t># 85</w:t>
            </w:r>
          </w:p>
        </w:tc>
        <w:tc>
          <w:tcPr>
            <w:tcW w:w="3673" w:type="dxa"/>
          </w:tcPr>
          <w:p w14:paraId="6C3E64EE" w14:textId="77777777" w:rsidR="000B3251" w:rsidRPr="00FB193A" w:rsidRDefault="000B3251" w:rsidP="00C13865">
            <w:pPr>
              <w:rPr>
                <w:b/>
                <w:lang w:val="fr-CA"/>
              </w:rPr>
            </w:pPr>
            <w:r w:rsidRPr="00FB193A">
              <w:rPr>
                <w:b/>
                <w:lang w:val="fr-CA"/>
              </w:rPr>
              <w:t>Identification</w:t>
            </w:r>
          </w:p>
          <w:p w14:paraId="0602EB2C" w14:textId="66EB0417" w:rsidR="005E6932" w:rsidRPr="00FB193A" w:rsidRDefault="000B3251" w:rsidP="005E6932">
            <w:pPr>
              <w:rPr>
                <w:bCs/>
                <w:lang w:val="fr-CA"/>
              </w:rPr>
            </w:pPr>
            <w:r w:rsidRPr="00FB193A">
              <w:rPr>
                <w:b/>
                <w:lang w:val="fr-CA"/>
              </w:rPr>
              <w:t xml:space="preserve">294 (1) </w:t>
            </w:r>
            <w:r w:rsidR="005E6932" w:rsidRPr="00FB193A">
              <w:rPr>
                <w:bCs/>
                <w:lang w:val="fr-CA"/>
              </w:rPr>
              <w:t>Avant la vente de poudre propulsive à un acheteur, le vendeur exige que celui-ci lui présente son certificat de technicien en pyrotechnie (pyrotechnicien) ou un permis de possession et d’acquisition d’arme à feu qui lui a été délivré en vertu de la Loi sur les armes à feu et qu’il prouve son identité en présentant :</w:t>
            </w:r>
          </w:p>
          <w:p w14:paraId="78177645" w14:textId="4BD4DF61" w:rsidR="000B3251" w:rsidRPr="00FB193A" w:rsidRDefault="000B3251" w:rsidP="000B3251">
            <w:pPr>
              <w:rPr>
                <w:bCs/>
                <w:lang w:val="fr-CA"/>
              </w:rPr>
            </w:pPr>
          </w:p>
        </w:tc>
        <w:tc>
          <w:tcPr>
            <w:tcW w:w="3543" w:type="dxa"/>
          </w:tcPr>
          <w:p w14:paraId="37213D96" w14:textId="14933C08" w:rsidR="000B3251" w:rsidRPr="00FB193A" w:rsidRDefault="005E6932" w:rsidP="00813D8D">
            <w:pPr>
              <w:rPr>
                <w:lang w:val="fr-CA"/>
              </w:rPr>
            </w:pPr>
            <w:r w:rsidRPr="00FB193A">
              <w:rPr>
                <w:lang w:val="fr-CA"/>
              </w:rPr>
              <w:t>Modifier l’article 294 pour permettre l'achat de poudre propulsive au moyen d'un numéro d'identification d’agence de services publics (NIASP).</w:t>
            </w:r>
          </w:p>
        </w:tc>
        <w:tc>
          <w:tcPr>
            <w:tcW w:w="3828" w:type="dxa"/>
          </w:tcPr>
          <w:p w14:paraId="11447B89" w14:textId="329854A6" w:rsidR="000B3251" w:rsidRPr="00FB193A" w:rsidRDefault="005E6932" w:rsidP="00060ED1">
            <w:pPr>
              <w:rPr>
                <w:lang w:val="fr-CA"/>
              </w:rPr>
            </w:pPr>
            <w:r w:rsidRPr="00FB193A">
              <w:rPr>
                <w:lang w:val="fr-CA"/>
              </w:rPr>
              <w:t>Cette modification permettrait aux fonctionnaires d'acheter de la poudre propulsive pour des activités</w:t>
            </w:r>
            <w:r w:rsidR="00FC5900" w:rsidRPr="00FB193A">
              <w:rPr>
                <w:lang w:val="fr-CA"/>
              </w:rPr>
              <w:t xml:space="preserve"> menées sous les auspices de la fonction publique</w:t>
            </w:r>
            <w:r w:rsidRPr="00FB193A">
              <w:rPr>
                <w:lang w:val="fr-CA"/>
              </w:rPr>
              <w:t>, p</w:t>
            </w:r>
            <w:r w:rsidR="00FC5900" w:rsidRPr="00FB193A">
              <w:rPr>
                <w:lang w:val="fr-CA"/>
              </w:rPr>
              <w:t>. ex.</w:t>
            </w:r>
            <w:r w:rsidRPr="00FB193A">
              <w:rPr>
                <w:lang w:val="fr-CA"/>
              </w:rPr>
              <w:t xml:space="preserve"> les </w:t>
            </w:r>
            <w:r w:rsidR="00FC5900" w:rsidRPr="00FB193A">
              <w:rPr>
                <w:lang w:val="fr-CA"/>
              </w:rPr>
              <w:t>lieux</w:t>
            </w:r>
            <w:r w:rsidRPr="00FB193A">
              <w:rPr>
                <w:lang w:val="fr-CA"/>
              </w:rPr>
              <w:t xml:space="preserve"> historiques de Parcs Canada.</w:t>
            </w:r>
            <w:r w:rsidR="000B3251" w:rsidRPr="00FB193A">
              <w:rPr>
                <w:lang w:val="fr-CA"/>
              </w:rPr>
              <w:t xml:space="preserve"> </w:t>
            </w:r>
          </w:p>
        </w:tc>
        <w:tc>
          <w:tcPr>
            <w:tcW w:w="3827" w:type="dxa"/>
          </w:tcPr>
          <w:p w14:paraId="0B43FAA8" w14:textId="77777777" w:rsidR="000B3251" w:rsidRPr="00FB193A" w:rsidRDefault="000B3251" w:rsidP="001F6E34">
            <w:pPr>
              <w:rPr>
                <w:lang w:val="fr-CA"/>
              </w:rPr>
            </w:pPr>
          </w:p>
        </w:tc>
      </w:tr>
      <w:tr w:rsidR="00D27041" w:rsidRPr="00954022" w14:paraId="3B5CA31D" w14:textId="59A99529" w:rsidTr="000B347E">
        <w:tc>
          <w:tcPr>
            <w:tcW w:w="1284" w:type="dxa"/>
            <w:shd w:val="clear" w:color="auto" w:fill="auto"/>
          </w:tcPr>
          <w:p w14:paraId="1C8A42F9" w14:textId="77D8023C" w:rsidR="00D27041" w:rsidRPr="00FB193A" w:rsidRDefault="00405D73" w:rsidP="00E2607E">
            <w:pPr>
              <w:rPr>
                <w:lang w:val="fr-CA"/>
              </w:rPr>
            </w:pPr>
            <w:r w:rsidRPr="00FB193A">
              <w:rPr>
                <w:lang w:val="fr-CA"/>
              </w:rPr>
              <w:t># 93</w:t>
            </w:r>
          </w:p>
        </w:tc>
        <w:tc>
          <w:tcPr>
            <w:tcW w:w="3673" w:type="dxa"/>
            <w:shd w:val="clear" w:color="auto" w:fill="auto"/>
          </w:tcPr>
          <w:p w14:paraId="6438B330" w14:textId="77777777" w:rsidR="00FC5900" w:rsidRPr="00FB193A" w:rsidRDefault="00FC5900" w:rsidP="00F83C4A">
            <w:pPr>
              <w:rPr>
                <w:b/>
                <w:bCs/>
                <w:lang w:val="fr-CA"/>
              </w:rPr>
            </w:pPr>
            <w:r w:rsidRPr="00FB193A">
              <w:rPr>
                <w:b/>
                <w:bCs/>
                <w:lang w:val="fr-CA"/>
              </w:rPr>
              <w:t>dispositif de fantaisie</w:t>
            </w:r>
          </w:p>
          <w:p w14:paraId="7F380D70" w14:textId="2A09B3AE" w:rsidR="00D27041" w:rsidRPr="00FB193A" w:rsidRDefault="00FC5900" w:rsidP="00F83C4A">
            <w:pPr>
              <w:rPr>
                <w:lang w:val="fr-CA"/>
              </w:rPr>
            </w:pPr>
            <w:r w:rsidRPr="00FB193A">
              <w:rPr>
                <w:lang w:val="fr-CA"/>
              </w:rPr>
              <w:t xml:space="preserve">Pièce pyrotechnique à faible bruit et de faible puissance qui peut être utilisée sans danger dans un espace clos. </w:t>
            </w:r>
            <w:r w:rsidR="00F83C4A" w:rsidRPr="00FB193A">
              <w:rPr>
                <w:lang w:val="fr-CA"/>
              </w:rPr>
              <w:t>(</w:t>
            </w:r>
            <w:r w:rsidRPr="00FB193A">
              <w:rPr>
                <w:lang w:val="fr-CA"/>
              </w:rPr>
              <w:t>novelty device)</w:t>
            </w:r>
          </w:p>
        </w:tc>
        <w:tc>
          <w:tcPr>
            <w:tcW w:w="3543" w:type="dxa"/>
            <w:shd w:val="clear" w:color="auto" w:fill="auto"/>
          </w:tcPr>
          <w:p w14:paraId="50638D86" w14:textId="77777777" w:rsidR="00FC5900" w:rsidRPr="00FB193A" w:rsidRDefault="00FC5900" w:rsidP="00F83C4A">
            <w:pPr>
              <w:rPr>
                <w:b/>
                <w:bCs/>
                <w:lang w:val="fr-CA"/>
              </w:rPr>
            </w:pPr>
            <w:r w:rsidRPr="00FB193A">
              <w:rPr>
                <w:lang w:val="fr-CA"/>
              </w:rPr>
              <w:t>Modifier le paragraphe </w:t>
            </w:r>
            <w:r w:rsidR="00F83C4A" w:rsidRPr="00FB193A">
              <w:rPr>
                <w:lang w:val="fr-CA"/>
              </w:rPr>
              <w:t>335(1)</w:t>
            </w:r>
            <w:r w:rsidRPr="00FB193A">
              <w:rPr>
                <w:lang w:val="fr-CA"/>
              </w:rPr>
              <w:t xml:space="preserve"> pour remplacer la définition par ce qui suit :</w:t>
            </w:r>
            <w:r w:rsidR="00ED4D38" w:rsidRPr="00FB193A">
              <w:rPr>
                <w:lang w:val="fr-CA"/>
              </w:rPr>
              <w:t xml:space="preserve"> </w:t>
            </w:r>
            <w:r w:rsidRPr="00FB193A">
              <w:rPr>
                <w:b/>
                <w:bCs/>
                <w:lang w:val="fr-CA"/>
              </w:rPr>
              <w:t>dispositif de fantaisie</w:t>
            </w:r>
          </w:p>
          <w:p w14:paraId="380D688F" w14:textId="1C88669B" w:rsidR="00F83C4A" w:rsidRPr="00FB193A" w:rsidRDefault="00FC5900" w:rsidP="00F83C4A">
            <w:pPr>
              <w:rPr>
                <w:lang w:val="fr-CA"/>
              </w:rPr>
            </w:pPr>
            <w:r w:rsidRPr="00FB193A">
              <w:rPr>
                <w:lang w:val="fr-CA"/>
              </w:rPr>
              <w:t xml:space="preserve">Dispositif qui produit des effets visibles ou audibles limités et qui contient de petites quantités de </w:t>
            </w:r>
            <w:r w:rsidRPr="00FB193A">
              <w:rPr>
                <w:lang w:val="fr-CA"/>
              </w:rPr>
              <w:lastRenderedPageBreak/>
              <w:t>composition pyrotechnique ou explosive, mais qui n'entre pas dans la catégorie des pièces pyrotechniques à l’usage des consommateurs.</w:t>
            </w:r>
            <w:r w:rsidR="00A84308" w:rsidRPr="00FB193A">
              <w:rPr>
                <w:lang w:val="fr-CA"/>
              </w:rPr>
              <w:t xml:space="preserve"> </w:t>
            </w:r>
          </w:p>
          <w:p w14:paraId="246890BA" w14:textId="1D8BF336" w:rsidR="00813D8D" w:rsidRPr="00FB193A" w:rsidRDefault="00813D8D" w:rsidP="00CA75F3">
            <w:pPr>
              <w:rPr>
                <w:lang w:val="fr-CA"/>
              </w:rPr>
            </w:pPr>
          </w:p>
        </w:tc>
        <w:tc>
          <w:tcPr>
            <w:tcW w:w="3828" w:type="dxa"/>
            <w:shd w:val="clear" w:color="auto" w:fill="auto"/>
          </w:tcPr>
          <w:p w14:paraId="5A84FFF8" w14:textId="15A465F8" w:rsidR="00D27041" w:rsidRPr="00FB193A" w:rsidRDefault="00FC5900" w:rsidP="00CA75F3">
            <w:pPr>
              <w:rPr>
                <w:lang w:val="fr-CA"/>
              </w:rPr>
            </w:pPr>
            <w:r w:rsidRPr="00FB193A">
              <w:rPr>
                <w:lang w:val="fr-CA"/>
              </w:rPr>
              <w:lastRenderedPageBreak/>
              <w:t xml:space="preserve">L'utilisation du terme </w:t>
            </w:r>
            <w:r w:rsidRPr="00FB193A">
              <w:rPr>
                <w:rFonts w:cstheme="minorHAnsi"/>
                <w:lang w:val="fr-CA"/>
              </w:rPr>
              <w:t>«</w:t>
            </w:r>
            <w:r w:rsidRPr="00FB193A">
              <w:rPr>
                <w:lang w:val="fr-CA"/>
              </w:rPr>
              <w:t> espace clos </w:t>
            </w:r>
            <w:r w:rsidRPr="00FB193A">
              <w:rPr>
                <w:rFonts w:cstheme="minorHAnsi"/>
                <w:lang w:val="fr-CA"/>
              </w:rPr>
              <w:t>»</w:t>
            </w:r>
            <w:r w:rsidRPr="00FB193A">
              <w:rPr>
                <w:lang w:val="fr-CA"/>
              </w:rPr>
              <w:t xml:space="preserve"> pourrait laisser entendre que les dispositifs de fantaisie peuvent être utilisés sans danger à l'intérieur. La nouvelle définition vise à préciser que les dispositifs de fantaisie sont des </w:t>
            </w:r>
            <w:r w:rsidRPr="00FB193A">
              <w:rPr>
                <w:lang w:val="fr-CA"/>
              </w:rPr>
              <w:lastRenderedPageBreak/>
              <w:t>pièces pyrotechniques à faible risque dont le profil de risque est différent de celui des autres types de pièces pyrotechniques commerciales.</w:t>
            </w:r>
          </w:p>
        </w:tc>
        <w:tc>
          <w:tcPr>
            <w:tcW w:w="3827" w:type="dxa"/>
            <w:shd w:val="clear" w:color="auto" w:fill="auto"/>
          </w:tcPr>
          <w:p w14:paraId="59CC2487" w14:textId="77777777" w:rsidR="00D27041" w:rsidRPr="00FB193A" w:rsidRDefault="00D27041" w:rsidP="001F6E34">
            <w:pPr>
              <w:rPr>
                <w:lang w:val="fr-CA"/>
              </w:rPr>
            </w:pPr>
          </w:p>
        </w:tc>
      </w:tr>
      <w:tr w:rsidR="00F52E44" w:rsidRPr="00954022" w14:paraId="4E6C43EA" w14:textId="77777777" w:rsidTr="000B347E">
        <w:tc>
          <w:tcPr>
            <w:tcW w:w="1284" w:type="dxa"/>
          </w:tcPr>
          <w:p w14:paraId="696142D8" w14:textId="73AAFABA" w:rsidR="00F52E44" w:rsidRPr="00FB193A" w:rsidRDefault="00405D73" w:rsidP="00E2607E">
            <w:pPr>
              <w:rPr>
                <w:lang w:val="fr-CA"/>
              </w:rPr>
            </w:pPr>
            <w:r w:rsidRPr="00FB193A">
              <w:rPr>
                <w:lang w:val="fr-CA"/>
              </w:rPr>
              <w:t># 102</w:t>
            </w:r>
          </w:p>
        </w:tc>
        <w:tc>
          <w:tcPr>
            <w:tcW w:w="3673" w:type="dxa"/>
          </w:tcPr>
          <w:p w14:paraId="41528179" w14:textId="5CFD391C" w:rsidR="00F52E44" w:rsidRPr="00FB193A" w:rsidRDefault="00EA40E0" w:rsidP="00F83C4A">
            <w:pPr>
              <w:rPr>
                <w:b/>
                <w:bCs/>
                <w:lang w:val="fr-CA"/>
              </w:rPr>
            </w:pPr>
            <w:r w:rsidRPr="00FB193A">
              <w:rPr>
                <w:b/>
                <w:bCs/>
                <w:lang w:val="fr-CA"/>
              </w:rPr>
              <w:t>Quantité maximale</w:t>
            </w:r>
          </w:p>
          <w:p w14:paraId="534E3D79" w14:textId="3C4174FC" w:rsidR="00EA40E0" w:rsidRPr="00FB193A" w:rsidRDefault="00F52E44" w:rsidP="00EA40E0">
            <w:pPr>
              <w:rPr>
                <w:b/>
                <w:bCs/>
                <w:lang w:val="fr-CA"/>
              </w:rPr>
            </w:pPr>
            <w:r w:rsidRPr="00FB193A">
              <w:rPr>
                <w:lang w:val="fr-CA"/>
              </w:rPr>
              <w:t xml:space="preserve">348 (1) </w:t>
            </w:r>
            <w:r w:rsidR="00EA40E0" w:rsidRPr="00FB193A">
              <w:rPr>
                <w:lang w:val="fr-CA"/>
              </w:rPr>
              <w:t>Au plus 2 000 kg de pièces pyrotechniques à l’usage des consommateurs ou de dispositifs de fantaisie, y compris les pièces et les dispositifs qui sont exposés pour la vente, peuvent être stockés dans l’établissement de vente à tout moment; au moins 1 000 kg en sont stockés dans leur emballage ou leur contenant original. Si l’établissement de vente est situé dans un bâtiment qui contient un local d’habitation, au plus 100 kg de pièces pyrotechniques à l’usage des consommateurs ou de dispositifs de fantaisie, y compris les pièces et les dispositifs qui sont exposés pour la vente, peuvent y être stockés à tout moment.</w:t>
            </w:r>
          </w:p>
        </w:tc>
        <w:tc>
          <w:tcPr>
            <w:tcW w:w="3543" w:type="dxa"/>
          </w:tcPr>
          <w:p w14:paraId="7B991F19" w14:textId="3ED8CA2F" w:rsidR="00F52E44" w:rsidRPr="00FB193A" w:rsidRDefault="00EA40E0" w:rsidP="00F83C4A">
            <w:pPr>
              <w:rPr>
                <w:lang w:val="fr-CA"/>
              </w:rPr>
            </w:pPr>
            <w:r w:rsidRPr="00FB193A">
              <w:rPr>
                <w:lang w:val="fr-CA"/>
              </w:rPr>
              <w:t>Modifier le paragraphe </w:t>
            </w:r>
            <w:r w:rsidR="00F52E44" w:rsidRPr="00FB193A">
              <w:rPr>
                <w:lang w:val="fr-CA"/>
              </w:rPr>
              <w:t xml:space="preserve">348(1) </w:t>
            </w:r>
            <w:r w:rsidRPr="00FB193A">
              <w:rPr>
                <w:lang w:val="fr-CA"/>
              </w:rPr>
              <w:t>pour indiquer qu’au plus 1 000 kg de pièces pyrotechniques à l’usage des consommateurs ou de dispositifs de fantaisie peuvent être stockés dans un établissement de vente</w:t>
            </w:r>
            <w:r w:rsidR="00954022">
              <w:rPr>
                <w:lang w:val="fr-CA"/>
              </w:rPr>
              <w:t>, sans un licence,</w:t>
            </w:r>
            <w:r w:rsidRPr="00FB193A">
              <w:rPr>
                <w:lang w:val="fr-CA"/>
              </w:rPr>
              <w:t xml:space="preserve"> à tout moment.</w:t>
            </w:r>
          </w:p>
        </w:tc>
        <w:tc>
          <w:tcPr>
            <w:tcW w:w="3828" w:type="dxa"/>
          </w:tcPr>
          <w:p w14:paraId="3E6E6D27" w14:textId="77777777" w:rsidR="000029AB" w:rsidRDefault="00EA40E0" w:rsidP="00CA75F3">
            <w:pPr>
              <w:rPr>
                <w:lang w:val="fr-CA"/>
              </w:rPr>
            </w:pPr>
            <w:r w:rsidRPr="00FB193A">
              <w:rPr>
                <w:lang w:val="fr-CA"/>
              </w:rPr>
              <w:t xml:space="preserve">Les modifications apportées aux quantités actuellement prévues par la réglementation </w:t>
            </w:r>
            <w:r w:rsidR="000029AB">
              <w:rPr>
                <w:lang w:val="fr-CA"/>
              </w:rPr>
              <w:t>ne</w:t>
            </w:r>
            <w:r w:rsidRPr="00FB193A">
              <w:rPr>
                <w:lang w:val="fr-CA"/>
              </w:rPr>
              <w:t xml:space="preserve"> conformes </w:t>
            </w:r>
            <w:r w:rsidR="000029AB">
              <w:rPr>
                <w:lang w:val="fr-CA"/>
              </w:rPr>
              <w:t xml:space="preserve">pas </w:t>
            </w:r>
            <w:r w:rsidRPr="00FB193A">
              <w:rPr>
                <w:lang w:val="fr-CA"/>
              </w:rPr>
              <w:t xml:space="preserve">aux règlements locaux en vigueur qui, dans de nombreux cas, restreignent l'utilisation et la vente de pièces pyrotechniques. </w:t>
            </w:r>
          </w:p>
          <w:p w14:paraId="3C4B019C" w14:textId="5053EB15" w:rsidR="00F52E44" w:rsidRPr="00FB193A" w:rsidRDefault="00EA40E0" w:rsidP="00CA75F3">
            <w:pPr>
              <w:rPr>
                <w:lang w:val="fr-CA"/>
              </w:rPr>
            </w:pPr>
            <w:r w:rsidRPr="00FB193A">
              <w:rPr>
                <w:lang w:val="fr-CA"/>
              </w:rPr>
              <w:t>En outre, les commentaires du public (et les pétitions) sur les dangers des pièces pyrotechniques et le risque que représente leur mauvaise utilisation, ainsi que les incendies de forêt sans précédent de cet été, ont précipité ces modifications proposées.</w:t>
            </w:r>
            <w:r w:rsidR="000B0844" w:rsidRPr="00FB193A">
              <w:rPr>
                <w:lang w:val="fr-CA"/>
              </w:rPr>
              <w:t xml:space="preserve"> </w:t>
            </w:r>
          </w:p>
        </w:tc>
        <w:tc>
          <w:tcPr>
            <w:tcW w:w="3827" w:type="dxa"/>
          </w:tcPr>
          <w:p w14:paraId="24899D82" w14:textId="77777777" w:rsidR="00F52E44" w:rsidRPr="00FB193A" w:rsidRDefault="00F52E44" w:rsidP="001F6E34">
            <w:pPr>
              <w:rPr>
                <w:lang w:val="fr-CA"/>
              </w:rPr>
            </w:pPr>
          </w:p>
        </w:tc>
      </w:tr>
      <w:tr w:rsidR="00813D8D" w:rsidRPr="00954022" w14:paraId="4D32AC94" w14:textId="77777777" w:rsidTr="000B347E">
        <w:tc>
          <w:tcPr>
            <w:tcW w:w="1284" w:type="dxa"/>
          </w:tcPr>
          <w:p w14:paraId="22B9021A" w14:textId="3F85A467" w:rsidR="00813D8D" w:rsidRPr="00FB193A" w:rsidRDefault="002F334E" w:rsidP="002F334E">
            <w:pPr>
              <w:rPr>
                <w:lang w:val="fr-CA"/>
              </w:rPr>
            </w:pPr>
            <w:r w:rsidRPr="00FB193A">
              <w:rPr>
                <w:lang w:val="fr-CA"/>
              </w:rPr>
              <w:t># 108</w:t>
            </w:r>
          </w:p>
        </w:tc>
        <w:tc>
          <w:tcPr>
            <w:tcW w:w="3673" w:type="dxa"/>
          </w:tcPr>
          <w:p w14:paraId="343603A6" w14:textId="087380E5" w:rsidR="00100F8A" w:rsidRPr="00FB193A" w:rsidRDefault="00EA40E0" w:rsidP="00100F8A">
            <w:pPr>
              <w:rPr>
                <w:lang w:val="fr-CA"/>
              </w:rPr>
            </w:pPr>
            <w:r w:rsidRPr="00FB193A">
              <w:rPr>
                <w:lang w:val="fr-CA"/>
              </w:rPr>
              <w:t>Quantité maximale – unité de stockage</w:t>
            </w:r>
          </w:p>
          <w:p w14:paraId="672D5B9D" w14:textId="650C1B4A" w:rsidR="00EA40E0" w:rsidRPr="00FB193A" w:rsidRDefault="000F5FE7" w:rsidP="00EA40E0">
            <w:pPr>
              <w:rPr>
                <w:lang w:val="fr-CA"/>
              </w:rPr>
            </w:pPr>
            <w:r w:rsidRPr="00FB193A">
              <w:rPr>
                <w:lang w:val="fr-CA"/>
              </w:rPr>
              <w:t>356 (2)</w:t>
            </w:r>
            <w:r w:rsidR="00CD035F" w:rsidRPr="00FB193A">
              <w:rPr>
                <w:lang w:val="fr-CA"/>
              </w:rPr>
              <w:t xml:space="preserve"> </w:t>
            </w:r>
            <w:r w:rsidR="00EA40E0" w:rsidRPr="00FB193A">
              <w:rPr>
                <w:lang w:val="fr-CA"/>
              </w:rPr>
              <w:t xml:space="preserve">Les quantités maximales de pièces pyrotechniques à l’usage des consommateurs ou de dispositifs de </w:t>
            </w:r>
            <w:r w:rsidR="00EA40E0" w:rsidRPr="00FB193A">
              <w:rPr>
                <w:lang w:val="fr-CA"/>
              </w:rPr>
              <w:lastRenderedPageBreak/>
              <w:t>fantaisie qui peuvent être stockées à tout moment dans des unités de stockage, que les pièces ou les dispositifs soient stockés dans une ou plusieurs unités, sont les suivantes :</w:t>
            </w:r>
          </w:p>
          <w:p w14:paraId="412099D1" w14:textId="3E31AFB1" w:rsidR="00CD035F" w:rsidRPr="00FB193A" w:rsidRDefault="00CD035F" w:rsidP="00CD035F">
            <w:pPr>
              <w:rPr>
                <w:lang w:val="fr-CA"/>
              </w:rPr>
            </w:pPr>
          </w:p>
          <w:p w14:paraId="1AB9CC3B" w14:textId="179D29B7" w:rsidR="00CD035F" w:rsidRPr="00FB193A" w:rsidRDefault="00CD035F" w:rsidP="00CD035F">
            <w:pPr>
              <w:rPr>
                <w:lang w:val="fr-CA"/>
              </w:rPr>
            </w:pPr>
            <w:r w:rsidRPr="00FB193A">
              <w:rPr>
                <w:lang w:val="fr-CA"/>
              </w:rPr>
              <w:t xml:space="preserve">(a) </w:t>
            </w:r>
            <w:r w:rsidR="009A798D" w:rsidRPr="00FB193A">
              <w:rPr>
                <w:lang w:val="fr-CA"/>
              </w:rPr>
              <w:t>dans le cas de pièces pyrotechniques à l’usage des consommateurs, 1 000 kg;</w:t>
            </w:r>
          </w:p>
          <w:p w14:paraId="64DCBD16" w14:textId="065669C6" w:rsidR="00CD035F" w:rsidRPr="00FB193A" w:rsidRDefault="00CD035F" w:rsidP="00CD035F">
            <w:pPr>
              <w:rPr>
                <w:lang w:val="fr-CA"/>
              </w:rPr>
            </w:pPr>
            <w:r w:rsidRPr="00FB193A">
              <w:rPr>
                <w:lang w:val="fr-CA"/>
              </w:rPr>
              <w:t xml:space="preserve">(b) </w:t>
            </w:r>
            <w:r w:rsidR="009A798D" w:rsidRPr="00FB193A">
              <w:rPr>
                <w:lang w:val="fr-CA"/>
              </w:rPr>
              <w:t>dans le cas de dispositifs de fantaisie, 2 000 kg;</w:t>
            </w:r>
          </w:p>
          <w:p w14:paraId="2E9259AA" w14:textId="3374B8A6" w:rsidR="000F5FE7" w:rsidRPr="00FB193A" w:rsidRDefault="00CD035F" w:rsidP="009A798D">
            <w:pPr>
              <w:rPr>
                <w:lang w:val="fr-CA"/>
              </w:rPr>
            </w:pPr>
            <w:r w:rsidRPr="00FB193A">
              <w:rPr>
                <w:lang w:val="fr-CA"/>
              </w:rPr>
              <w:t xml:space="preserve">(c) </w:t>
            </w:r>
            <w:r w:rsidR="009A798D" w:rsidRPr="00FB193A">
              <w:rPr>
                <w:lang w:val="fr-CA"/>
              </w:rPr>
              <w:t>dans le cas d’une combinaison de pièces pyrotechniques à l’usage des consommateurs et de dispositifs de fantaisie, 2 000 kg dont au plus 1 000 kg de pièces pyrotechniques à l’usage des consommateurs.</w:t>
            </w:r>
          </w:p>
        </w:tc>
        <w:tc>
          <w:tcPr>
            <w:tcW w:w="3543" w:type="dxa"/>
          </w:tcPr>
          <w:p w14:paraId="3F86ADC4" w14:textId="119046C5" w:rsidR="00813D8D" w:rsidRPr="00FB193A" w:rsidRDefault="009A798D" w:rsidP="000F5FE7">
            <w:pPr>
              <w:rPr>
                <w:lang w:val="fr-CA"/>
              </w:rPr>
            </w:pPr>
            <w:r w:rsidRPr="00FB193A">
              <w:rPr>
                <w:lang w:val="fr-CA"/>
              </w:rPr>
              <w:lastRenderedPageBreak/>
              <w:t xml:space="preserve">Modifier le paragraphe 356(2) pour indiquer que, dans le cas d’une combinaison de pièces pyrotechniques à l’usage des consommateurs et de dispositifs de </w:t>
            </w:r>
            <w:r w:rsidRPr="00FB193A">
              <w:rPr>
                <w:lang w:val="fr-CA"/>
              </w:rPr>
              <w:lastRenderedPageBreak/>
              <w:t>fantaisie, la quantité maximale qui peut être stockée à tout moment dans une unité de stockage est de 1 000 kg.</w:t>
            </w:r>
          </w:p>
        </w:tc>
        <w:tc>
          <w:tcPr>
            <w:tcW w:w="3828" w:type="dxa"/>
          </w:tcPr>
          <w:p w14:paraId="2CC51E55" w14:textId="6DB374D2" w:rsidR="00813D8D" w:rsidRPr="00FB193A" w:rsidRDefault="009A798D" w:rsidP="00CA75F3">
            <w:pPr>
              <w:rPr>
                <w:lang w:val="fr-CA"/>
              </w:rPr>
            </w:pPr>
            <w:r w:rsidRPr="00FB193A">
              <w:rPr>
                <w:lang w:val="fr-CA"/>
              </w:rPr>
              <w:lastRenderedPageBreak/>
              <w:t xml:space="preserve">Les modifications apportées aux quantités actuellement prévues par la réglementation devraient être plus conformes aux règlements locaux en vigueur qui, dans de nombreux cas, </w:t>
            </w:r>
            <w:r w:rsidRPr="00FB193A">
              <w:rPr>
                <w:lang w:val="fr-CA"/>
              </w:rPr>
              <w:lastRenderedPageBreak/>
              <w:t>restreignent l'utilisation et la vente de pièces pyrotechniques. En outre, les commentaires du public (et les pétitions) sur les dangers des pièces pyrotechniques et le risque que représente leur mauvaise utilisation, ainsi que les incendies de forêt sans précédent de cet été, ont précipité ces modifications proposées.</w:t>
            </w:r>
          </w:p>
        </w:tc>
        <w:tc>
          <w:tcPr>
            <w:tcW w:w="3827" w:type="dxa"/>
          </w:tcPr>
          <w:p w14:paraId="21296C76" w14:textId="77777777" w:rsidR="00813D8D" w:rsidRPr="00FB193A" w:rsidRDefault="00813D8D" w:rsidP="001F6E34">
            <w:pPr>
              <w:rPr>
                <w:lang w:val="fr-CA"/>
              </w:rPr>
            </w:pPr>
          </w:p>
        </w:tc>
      </w:tr>
      <w:tr w:rsidR="00A92AF4" w:rsidRPr="00954022" w14:paraId="51F3CA82" w14:textId="77777777" w:rsidTr="000B347E">
        <w:tc>
          <w:tcPr>
            <w:tcW w:w="1284" w:type="dxa"/>
          </w:tcPr>
          <w:p w14:paraId="28FB181A" w14:textId="1BF8C81D" w:rsidR="00A92AF4" w:rsidRPr="00FB193A" w:rsidRDefault="003D3A04" w:rsidP="003D3A04">
            <w:pPr>
              <w:pStyle w:val="ListParagraph"/>
              <w:ind w:left="0"/>
              <w:jc w:val="both"/>
              <w:rPr>
                <w:lang w:val="fr-CA"/>
              </w:rPr>
            </w:pPr>
            <w:r w:rsidRPr="00FB193A">
              <w:rPr>
                <w:lang w:val="fr-CA"/>
              </w:rPr>
              <w:t># 141</w:t>
            </w:r>
          </w:p>
        </w:tc>
        <w:tc>
          <w:tcPr>
            <w:tcW w:w="3673" w:type="dxa"/>
          </w:tcPr>
          <w:p w14:paraId="6B4ACF72" w14:textId="6C5B1708" w:rsidR="000E14F9" w:rsidRPr="00FB193A" w:rsidRDefault="009A798D" w:rsidP="00011984">
            <w:pPr>
              <w:rPr>
                <w:b/>
                <w:lang w:val="fr-CA"/>
              </w:rPr>
            </w:pPr>
            <w:r w:rsidRPr="00FB193A">
              <w:rPr>
                <w:b/>
                <w:lang w:val="fr-CA"/>
              </w:rPr>
              <w:t>Inventaire annuel</w:t>
            </w:r>
          </w:p>
          <w:p w14:paraId="43D869B9" w14:textId="2400F9A5" w:rsidR="003D3A04" w:rsidRPr="00FB193A" w:rsidRDefault="003D3A04" w:rsidP="003D3A04">
            <w:pPr>
              <w:rPr>
                <w:bCs/>
                <w:lang w:val="fr-CA"/>
              </w:rPr>
            </w:pPr>
            <w:r w:rsidRPr="00FB193A">
              <w:rPr>
                <w:bCs/>
                <w:lang w:val="fr-CA"/>
              </w:rPr>
              <w:t xml:space="preserve">479 </w:t>
            </w:r>
            <w:r w:rsidR="009A798D" w:rsidRPr="00FB193A">
              <w:rPr>
                <w:bCs/>
                <w:lang w:val="fr-CA"/>
              </w:rPr>
              <w:t>Pour chaque année civile, un inventaire contenant les renseignements ci-après est dressé et conservé pendant deux ans.</w:t>
            </w:r>
          </w:p>
        </w:tc>
        <w:tc>
          <w:tcPr>
            <w:tcW w:w="3543" w:type="dxa"/>
          </w:tcPr>
          <w:p w14:paraId="3CB20F21" w14:textId="155B701E" w:rsidR="00A92AF4" w:rsidRPr="00FB193A" w:rsidRDefault="009A798D" w:rsidP="000E14F9">
            <w:pPr>
              <w:rPr>
                <w:lang w:val="fr-CA"/>
              </w:rPr>
            </w:pPr>
            <w:r w:rsidRPr="00FB193A">
              <w:rPr>
                <w:lang w:val="fr-CA"/>
              </w:rPr>
              <w:t>Modifier cette disposition proposée pour la porter à l’article 487.</w:t>
            </w:r>
          </w:p>
          <w:p w14:paraId="6AA58598" w14:textId="695A0E52" w:rsidR="000E14F9" w:rsidRPr="00FB193A" w:rsidRDefault="009A798D" w:rsidP="000E14F9">
            <w:pPr>
              <w:rPr>
                <w:b/>
                <w:bCs/>
                <w:lang w:val="fr-CA"/>
              </w:rPr>
            </w:pPr>
            <w:r w:rsidRPr="00FB193A">
              <w:rPr>
                <w:b/>
                <w:bCs/>
                <w:lang w:val="fr-CA"/>
              </w:rPr>
              <w:t>Inventaire annuel</w:t>
            </w:r>
          </w:p>
          <w:p w14:paraId="605CB499" w14:textId="76D62B22" w:rsidR="003D3A04" w:rsidRPr="00FB193A" w:rsidRDefault="003D3A04" w:rsidP="003D3A04">
            <w:pPr>
              <w:rPr>
                <w:lang w:val="fr-CA"/>
              </w:rPr>
            </w:pPr>
            <w:r w:rsidRPr="00FB193A">
              <w:rPr>
                <w:lang w:val="fr-CA"/>
              </w:rPr>
              <w:t xml:space="preserve">487 </w:t>
            </w:r>
            <w:r w:rsidR="009A798D" w:rsidRPr="00FB193A">
              <w:rPr>
                <w:bCs/>
                <w:lang w:val="fr-CA"/>
              </w:rPr>
              <w:t>Pour chaque année civile, un inventaire contenant les renseignements ci-après est dressé et conservé pendant deux ans.</w:t>
            </w:r>
          </w:p>
        </w:tc>
        <w:tc>
          <w:tcPr>
            <w:tcW w:w="3828" w:type="dxa"/>
          </w:tcPr>
          <w:p w14:paraId="5F893BFB" w14:textId="4DB9A20C" w:rsidR="00A92AF4" w:rsidRPr="00FB193A" w:rsidRDefault="009A798D" w:rsidP="00011984">
            <w:pPr>
              <w:rPr>
                <w:lang w:val="fr-CA"/>
              </w:rPr>
            </w:pPr>
            <w:r w:rsidRPr="00FB193A">
              <w:rPr>
                <w:lang w:val="fr-CA"/>
              </w:rPr>
              <w:t>La modification proposée faisait précédemment renvoi à l'article 479</w:t>
            </w:r>
            <w:r w:rsidR="00203CC6" w:rsidRPr="00FB193A">
              <w:rPr>
                <w:lang w:val="fr-CA"/>
              </w:rPr>
              <w:t xml:space="preserve"> – Endroits autorisés, </w:t>
            </w:r>
            <w:r w:rsidRPr="00FB193A">
              <w:rPr>
                <w:lang w:val="fr-CA"/>
              </w:rPr>
              <w:t>ce qui n'était pas l'intention de la proposition.</w:t>
            </w:r>
            <w:r w:rsidR="00016945" w:rsidRPr="00FB193A">
              <w:rPr>
                <w:lang w:val="fr-CA"/>
              </w:rPr>
              <w:t xml:space="preserve"> </w:t>
            </w:r>
          </w:p>
        </w:tc>
        <w:tc>
          <w:tcPr>
            <w:tcW w:w="3827" w:type="dxa"/>
          </w:tcPr>
          <w:p w14:paraId="2ECEE354" w14:textId="77777777" w:rsidR="00A92AF4" w:rsidRPr="00FB193A" w:rsidRDefault="00A92AF4" w:rsidP="00A92AF4">
            <w:pPr>
              <w:rPr>
                <w:lang w:val="fr-CA"/>
              </w:rPr>
            </w:pPr>
          </w:p>
        </w:tc>
      </w:tr>
    </w:tbl>
    <w:p w14:paraId="253DE9A8" w14:textId="77777777" w:rsidR="00D335B4" w:rsidRPr="00FB193A" w:rsidRDefault="00D335B4" w:rsidP="005A6A41">
      <w:pPr>
        <w:spacing w:after="0" w:line="240" w:lineRule="auto"/>
        <w:rPr>
          <w:lang w:val="fr-CA"/>
        </w:rPr>
      </w:pPr>
    </w:p>
    <w:sectPr w:rsidR="00D335B4" w:rsidRPr="00FB193A" w:rsidSect="00D27041">
      <w:headerReference w:type="even" r:id="rId7"/>
      <w:headerReference w:type="default" r:id="rId8"/>
      <w:footerReference w:type="default" r:id="rId9"/>
      <w:headerReference w:type="first" r:id="rId10"/>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670D" w14:textId="77777777" w:rsidR="00E64A8C" w:rsidRDefault="00E64A8C" w:rsidP="00ED04F6">
      <w:pPr>
        <w:spacing w:after="0" w:line="240" w:lineRule="auto"/>
      </w:pPr>
      <w:r>
        <w:separator/>
      </w:r>
    </w:p>
  </w:endnote>
  <w:endnote w:type="continuationSeparator" w:id="0">
    <w:p w14:paraId="67E794B6" w14:textId="77777777" w:rsidR="00E64A8C" w:rsidRDefault="00E64A8C" w:rsidP="00ED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99288"/>
      <w:docPartObj>
        <w:docPartGallery w:val="Page Numbers (Bottom of Page)"/>
        <w:docPartUnique/>
      </w:docPartObj>
    </w:sdtPr>
    <w:sdtEndPr>
      <w:rPr>
        <w:noProof/>
      </w:rPr>
    </w:sdtEndPr>
    <w:sdtContent>
      <w:p w14:paraId="52AFF45D" w14:textId="149C11E1" w:rsidR="005755F0" w:rsidRDefault="005755F0">
        <w:pPr>
          <w:pStyle w:val="Footer"/>
          <w:jc w:val="center"/>
        </w:pPr>
        <w:r>
          <w:fldChar w:fldCharType="begin"/>
        </w:r>
        <w:r>
          <w:instrText xml:space="preserve"> PAGE   \* MERGEFORMAT </w:instrText>
        </w:r>
        <w:r>
          <w:fldChar w:fldCharType="separate"/>
        </w:r>
        <w:r w:rsidR="00BC0FBE">
          <w:rPr>
            <w:noProof/>
          </w:rPr>
          <w:t>7</w:t>
        </w:r>
        <w:r>
          <w:rPr>
            <w:noProof/>
          </w:rPr>
          <w:fldChar w:fldCharType="end"/>
        </w:r>
      </w:p>
    </w:sdtContent>
  </w:sdt>
  <w:p w14:paraId="046BF3AF" w14:textId="77777777" w:rsidR="005755F0" w:rsidRDefault="00575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B12C" w14:textId="77777777" w:rsidR="00E64A8C" w:rsidRDefault="00E64A8C" w:rsidP="00ED04F6">
      <w:pPr>
        <w:spacing w:after="0" w:line="240" w:lineRule="auto"/>
      </w:pPr>
      <w:r>
        <w:separator/>
      </w:r>
    </w:p>
  </w:footnote>
  <w:footnote w:type="continuationSeparator" w:id="0">
    <w:p w14:paraId="3836391D" w14:textId="77777777" w:rsidR="00E64A8C" w:rsidRDefault="00E64A8C" w:rsidP="00ED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9384" w14:textId="433E84C4" w:rsidR="00AF5ADA" w:rsidRDefault="00AF5ADA">
    <w:pPr>
      <w:pStyle w:val="Header"/>
    </w:pPr>
    <w:r>
      <w:rPr>
        <w:noProof/>
        <w:lang w:eastAsia="en-CA"/>
      </w:rPr>
      <mc:AlternateContent>
        <mc:Choice Requires="wps">
          <w:drawing>
            <wp:anchor distT="0" distB="0" distL="0" distR="0" simplePos="0" relativeHeight="251659264" behindDoc="0" locked="0" layoutInCell="1" allowOverlap="1" wp14:anchorId="50782207" wp14:editId="1053B9EE">
              <wp:simplePos x="635" y="635"/>
              <wp:positionH relativeFrom="page">
                <wp:align>right</wp:align>
              </wp:positionH>
              <wp:positionV relativeFrom="page">
                <wp:align>top</wp:align>
              </wp:positionV>
              <wp:extent cx="443865" cy="443865"/>
              <wp:effectExtent l="0" t="0" r="0" b="8890"/>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5A703" w14:textId="0D14D670" w:rsidR="00AF5ADA" w:rsidRPr="00AF5ADA" w:rsidRDefault="00AF5ADA" w:rsidP="00AF5ADA">
                          <w:pPr>
                            <w:spacing w:after="0"/>
                            <w:rPr>
                              <w:rFonts w:ascii="Calibri" w:eastAsia="Calibri" w:hAnsi="Calibri" w:cs="Calibri"/>
                              <w:noProof/>
                              <w:color w:val="000000"/>
                              <w:sz w:val="24"/>
                              <w:szCs w:val="24"/>
                            </w:rPr>
                          </w:pPr>
                          <w:r w:rsidRPr="00AF5ADA">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782207"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AF5A703" w14:textId="0D14D670" w:rsidR="00AF5ADA" w:rsidRPr="00AF5ADA" w:rsidRDefault="00AF5ADA" w:rsidP="00AF5ADA">
                    <w:pPr>
                      <w:spacing w:after="0"/>
                      <w:rPr>
                        <w:rFonts w:ascii="Calibri" w:eastAsia="Calibri" w:hAnsi="Calibri" w:cs="Calibri"/>
                        <w:noProof/>
                        <w:color w:val="000000"/>
                        <w:sz w:val="24"/>
                        <w:szCs w:val="24"/>
                      </w:rPr>
                    </w:pPr>
                    <w:r w:rsidRPr="00AF5ADA">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83CC" w14:textId="5207312D" w:rsidR="00AF5ADA" w:rsidRDefault="00AF5ADA">
    <w:pPr>
      <w:pStyle w:val="Header"/>
    </w:pPr>
    <w:r>
      <w:rPr>
        <w:noProof/>
        <w:lang w:eastAsia="en-CA"/>
      </w:rPr>
      <mc:AlternateContent>
        <mc:Choice Requires="wps">
          <w:drawing>
            <wp:anchor distT="0" distB="0" distL="0" distR="0" simplePos="0" relativeHeight="251660288" behindDoc="0" locked="0" layoutInCell="1" allowOverlap="1" wp14:anchorId="78F67BF6" wp14:editId="7DF2D8FC">
              <wp:simplePos x="914400" y="447675"/>
              <wp:positionH relativeFrom="page">
                <wp:align>right</wp:align>
              </wp:positionH>
              <wp:positionV relativeFrom="page">
                <wp:align>top</wp:align>
              </wp:positionV>
              <wp:extent cx="443865" cy="443865"/>
              <wp:effectExtent l="0" t="0" r="0" b="8890"/>
              <wp:wrapNone/>
              <wp:docPr id="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FB2EC" w14:textId="7DBFCED6" w:rsidR="00AF5ADA" w:rsidRPr="00AF5ADA" w:rsidRDefault="00AF5ADA" w:rsidP="00AF5ADA">
                          <w:pPr>
                            <w:spacing w:after="0"/>
                            <w:rPr>
                              <w:rFonts w:ascii="Calibri" w:eastAsia="Calibri" w:hAnsi="Calibri" w:cs="Calibri"/>
                              <w:noProof/>
                              <w:color w:val="000000"/>
                              <w:sz w:val="24"/>
                              <w:szCs w:val="24"/>
                            </w:rPr>
                          </w:pPr>
                          <w:r w:rsidRPr="00AF5ADA">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F67BF6" id="_x0000_t202" coordsize="21600,21600" o:spt="202" path="m,l,21600r21600,l21600,xe">
              <v:stroke joinstyle="miter"/>
              <v:path gradientshapeok="t" o:connecttype="rect"/>
            </v:shapetype>
            <v:shape id="Text Box 3" o:spid="_x0000_s1027" type="#_x0000_t202" alt="UNCLASSIFIED - NON CLASSIFI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33FB2EC" w14:textId="7DBFCED6" w:rsidR="00AF5ADA" w:rsidRPr="00AF5ADA" w:rsidRDefault="00AF5ADA" w:rsidP="00AF5ADA">
                    <w:pPr>
                      <w:spacing w:after="0"/>
                      <w:rPr>
                        <w:rFonts w:ascii="Calibri" w:eastAsia="Calibri" w:hAnsi="Calibri" w:cs="Calibri"/>
                        <w:noProof/>
                        <w:color w:val="000000"/>
                        <w:sz w:val="24"/>
                        <w:szCs w:val="24"/>
                      </w:rPr>
                    </w:pPr>
                    <w:r w:rsidRPr="00AF5ADA">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A630" w14:textId="751FE55D" w:rsidR="00AF5ADA" w:rsidRDefault="00AF5ADA">
    <w:pPr>
      <w:pStyle w:val="Header"/>
    </w:pPr>
    <w:r>
      <w:rPr>
        <w:noProof/>
        <w:lang w:eastAsia="en-CA"/>
      </w:rPr>
      <mc:AlternateContent>
        <mc:Choice Requires="wps">
          <w:drawing>
            <wp:anchor distT="0" distB="0" distL="0" distR="0" simplePos="0" relativeHeight="251658240" behindDoc="0" locked="0" layoutInCell="1" allowOverlap="1" wp14:anchorId="63AF209C" wp14:editId="70B6D586">
              <wp:simplePos x="635" y="635"/>
              <wp:positionH relativeFrom="page">
                <wp:align>right</wp:align>
              </wp:positionH>
              <wp:positionV relativeFrom="page">
                <wp:align>top</wp:align>
              </wp:positionV>
              <wp:extent cx="443865" cy="443865"/>
              <wp:effectExtent l="0" t="0" r="0" b="8890"/>
              <wp:wrapNone/>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4CB4E" w14:textId="342873CF" w:rsidR="00AF5ADA" w:rsidRPr="00AF5ADA" w:rsidRDefault="00AF5ADA" w:rsidP="00AF5ADA">
                          <w:pPr>
                            <w:spacing w:after="0"/>
                            <w:rPr>
                              <w:rFonts w:ascii="Calibri" w:eastAsia="Calibri" w:hAnsi="Calibri" w:cs="Calibri"/>
                              <w:noProof/>
                              <w:color w:val="000000"/>
                              <w:sz w:val="24"/>
                              <w:szCs w:val="24"/>
                            </w:rPr>
                          </w:pPr>
                          <w:r w:rsidRPr="00AF5ADA">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AF209C" id="_x0000_t202" coordsize="21600,21600" o:spt="202" path="m,l,21600r21600,l21600,xe">
              <v:stroke joinstyle="miter"/>
              <v:path gradientshapeok="t" o:connecttype="rect"/>
            </v:shapetype>
            <v:shape id="Text Box 1"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2F4CB4E" w14:textId="342873CF" w:rsidR="00AF5ADA" w:rsidRPr="00AF5ADA" w:rsidRDefault="00AF5ADA" w:rsidP="00AF5ADA">
                    <w:pPr>
                      <w:spacing w:after="0"/>
                      <w:rPr>
                        <w:rFonts w:ascii="Calibri" w:eastAsia="Calibri" w:hAnsi="Calibri" w:cs="Calibri"/>
                        <w:noProof/>
                        <w:color w:val="000000"/>
                        <w:sz w:val="24"/>
                        <w:szCs w:val="24"/>
                      </w:rPr>
                    </w:pPr>
                    <w:r w:rsidRPr="00AF5ADA">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B4"/>
    <w:rsid w:val="00000D70"/>
    <w:rsid w:val="000029AB"/>
    <w:rsid w:val="000029E5"/>
    <w:rsid w:val="00003A35"/>
    <w:rsid w:val="00003B43"/>
    <w:rsid w:val="00011487"/>
    <w:rsid w:val="00011984"/>
    <w:rsid w:val="00012CA8"/>
    <w:rsid w:val="000167EA"/>
    <w:rsid w:val="00016945"/>
    <w:rsid w:val="00020043"/>
    <w:rsid w:val="000209E3"/>
    <w:rsid w:val="00025628"/>
    <w:rsid w:val="0002791C"/>
    <w:rsid w:val="0003262D"/>
    <w:rsid w:val="0004085B"/>
    <w:rsid w:val="00042CBD"/>
    <w:rsid w:val="00053BAC"/>
    <w:rsid w:val="00060DB7"/>
    <w:rsid w:val="00060ED1"/>
    <w:rsid w:val="0006212B"/>
    <w:rsid w:val="00062295"/>
    <w:rsid w:val="00062EDB"/>
    <w:rsid w:val="00064FEE"/>
    <w:rsid w:val="000728AD"/>
    <w:rsid w:val="00074017"/>
    <w:rsid w:val="00074131"/>
    <w:rsid w:val="0007450A"/>
    <w:rsid w:val="00076258"/>
    <w:rsid w:val="000764AD"/>
    <w:rsid w:val="000808BF"/>
    <w:rsid w:val="00080F5D"/>
    <w:rsid w:val="00081630"/>
    <w:rsid w:val="00085FF8"/>
    <w:rsid w:val="0009133C"/>
    <w:rsid w:val="00091342"/>
    <w:rsid w:val="00094AFC"/>
    <w:rsid w:val="00094B1E"/>
    <w:rsid w:val="00095206"/>
    <w:rsid w:val="00095EF0"/>
    <w:rsid w:val="00096CCE"/>
    <w:rsid w:val="00097061"/>
    <w:rsid w:val="00097F74"/>
    <w:rsid w:val="000A1B19"/>
    <w:rsid w:val="000A26CE"/>
    <w:rsid w:val="000A2E75"/>
    <w:rsid w:val="000A36F0"/>
    <w:rsid w:val="000A4658"/>
    <w:rsid w:val="000B0844"/>
    <w:rsid w:val="000B0EA3"/>
    <w:rsid w:val="000B3251"/>
    <w:rsid w:val="000B347E"/>
    <w:rsid w:val="000B78BE"/>
    <w:rsid w:val="000C0514"/>
    <w:rsid w:val="000C493B"/>
    <w:rsid w:val="000C7FD7"/>
    <w:rsid w:val="000D0CAF"/>
    <w:rsid w:val="000D75E5"/>
    <w:rsid w:val="000D791C"/>
    <w:rsid w:val="000E001B"/>
    <w:rsid w:val="000E1228"/>
    <w:rsid w:val="000E1454"/>
    <w:rsid w:val="000E14F9"/>
    <w:rsid w:val="000E17D6"/>
    <w:rsid w:val="000F0733"/>
    <w:rsid w:val="000F496F"/>
    <w:rsid w:val="000F5083"/>
    <w:rsid w:val="000F5FE7"/>
    <w:rsid w:val="000F6692"/>
    <w:rsid w:val="001008C9"/>
    <w:rsid w:val="00100F8A"/>
    <w:rsid w:val="00101226"/>
    <w:rsid w:val="0010129B"/>
    <w:rsid w:val="00101449"/>
    <w:rsid w:val="00101A74"/>
    <w:rsid w:val="00102BC7"/>
    <w:rsid w:val="001032EB"/>
    <w:rsid w:val="00105B45"/>
    <w:rsid w:val="00116882"/>
    <w:rsid w:val="00122A06"/>
    <w:rsid w:val="0013275E"/>
    <w:rsid w:val="001346F9"/>
    <w:rsid w:val="00134CFE"/>
    <w:rsid w:val="001361A7"/>
    <w:rsid w:val="00140F6F"/>
    <w:rsid w:val="00141CAF"/>
    <w:rsid w:val="00142F70"/>
    <w:rsid w:val="001433D9"/>
    <w:rsid w:val="00143723"/>
    <w:rsid w:val="0014415F"/>
    <w:rsid w:val="00150085"/>
    <w:rsid w:val="0015065F"/>
    <w:rsid w:val="00152CCA"/>
    <w:rsid w:val="00153D12"/>
    <w:rsid w:val="001557F5"/>
    <w:rsid w:val="0016227F"/>
    <w:rsid w:val="001670ED"/>
    <w:rsid w:val="00170049"/>
    <w:rsid w:val="001719C6"/>
    <w:rsid w:val="001747AB"/>
    <w:rsid w:val="0017484E"/>
    <w:rsid w:val="00174FBD"/>
    <w:rsid w:val="001829A9"/>
    <w:rsid w:val="0018351E"/>
    <w:rsid w:val="00184D11"/>
    <w:rsid w:val="001861FE"/>
    <w:rsid w:val="00190C8C"/>
    <w:rsid w:val="00191C06"/>
    <w:rsid w:val="001947F1"/>
    <w:rsid w:val="00195536"/>
    <w:rsid w:val="00196095"/>
    <w:rsid w:val="00196E1F"/>
    <w:rsid w:val="001A249C"/>
    <w:rsid w:val="001A5236"/>
    <w:rsid w:val="001B0A81"/>
    <w:rsid w:val="001B1D62"/>
    <w:rsid w:val="001B3882"/>
    <w:rsid w:val="001B6599"/>
    <w:rsid w:val="001B67D1"/>
    <w:rsid w:val="001C12AC"/>
    <w:rsid w:val="001C21E1"/>
    <w:rsid w:val="001C723D"/>
    <w:rsid w:val="001D289A"/>
    <w:rsid w:val="001E0BCB"/>
    <w:rsid w:val="001E1266"/>
    <w:rsid w:val="001E2394"/>
    <w:rsid w:val="001E42CD"/>
    <w:rsid w:val="001F0A6C"/>
    <w:rsid w:val="001F1B94"/>
    <w:rsid w:val="001F237B"/>
    <w:rsid w:val="001F30A0"/>
    <w:rsid w:val="001F364E"/>
    <w:rsid w:val="001F3894"/>
    <w:rsid w:val="001F434F"/>
    <w:rsid w:val="001F6657"/>
    <w:rsid w:val="001F6E34"/>
    <w:rsid w:val="001F7309"/>
    <w:rsid w:val="00203653"/>
    <w:rsid w:val="002037C4"/>
    <w:rsid w:val="00203CC6"/>
    <w:rsid w:val="0020533E"/>
    <w:rsid w:val="00206D78"/>
    <w:rsid w:val="00210908"/>
    <w:rsid w:val="00211DD9"/>
    <w:rsid w:val="00214F56"/>
    <w:rsid w:val="00215D18"/>
    <w:rsid w:val="0022260A"/>
    <w:rsid w:val="002249D8"/>
    <w:rsid w:val="0022601D"/>
    <w:rsid w:val="00231D26"/>
    <w:rsid w:val="00232655"/>
    <w:rsid w:val="00232C12"/>
    <w:rsid w:val="002341E1"/>
    <w:rsid w:val="002371D4"/>
    <w:rsid w:val="00241A68"/>
    <w:rsid w:val="00246D82"/>
    <w:rsid w:val="0024798F"/>
    <w:rsid w:val="00250894"/>
    <w:rsid w:val="00260C79"/>
    <w:rsid w:val="00270762"/>
    <w:rsid w:val="002709C6"/>
    <w:rsid w:val="002715B8"/>
    <w:rsid w:val="00272802"/>
    <w:rsid w:val="00275588"/>
    <w:rsid w:val="00282174"/>
    <w:rsid w:val="00284523"/>
    <w:rsid w:val="00287602"/>
    <w:rsid w:val="0029219D"/>
    <w:rsid w:val="0029270D"/>
    <w:rsid w:val="002940B0"/>
    <w:rsid w:val="0029418E"/>
    <w:rsid w:val="00294AF5"/>
    <w:rsid w:val="00295335"/>
    <w:rsid w:val="002A05F9"/>
    <w:rsid w:val="002A5A35"/>
    <w:rsid w:val="002A7B03"/>
    <w:rsid w:val="002B077D"/>
    <w:rsid w:val="002B10C7"/>
    <w:rsid w:val="002B1953"/>
    <w:rsid w:val="002B28EF"/>
    <w:rsid w:val="002B2FA8"/>
    <w:rsid w:val="002B3DD0"/>
    <w:rsid w:val="002C2930"/>
    <w:rsid w:val="002C33A5"/>
    <w:rsid w:val="002C4EAB"/>
    <w:rsid w:val="002D2A0C"/>
    <w:rsid w:val="002D3AFE"/>
    <w:rsid w:val="002D56E4"/>
    <w:rsid w:val="002D5981"/>
    <w:rsid w:val="002D5CF8"/>
    <w:rsid w:val="002D600C"/>
    <w:rsid w:val="002D7BE7"/>
    <w:rsid w:val="002D7EB5"/>
    <w:rsid w:val="002E001D"/>
    <w:rsid w:val="002E121A"/>
    <w:rsid w:val="002E1B58"/>
    <w:rsid w:val="002E6974"/>
    <w:rsid w:val="002E6F1D"/>
    <w:rsid w:val="002F334E"/>
    <w:rsid w:val="002F640F"/>
    <w:rsid w:val="002F7AB3"/>
    <w:rsid w:val="0030049F"/>
    <w:rsid w:val="00306D4B"/>
    <w:rsid w:val="00307356"/>
    <w:rsid w:val="00310219"/>
    <w:rsid w:val="003148F9"/>
    <w:rsid w:val="0031701C"/>
    <w:rsid w:val="0031729C"/>
    <w:rsid w:val="00322569"/>
    <w:rsid w:val="00324E76"/>
    <w:rsid w:val="00325FB5"/>
    <w:rsid w:val="003265C9"/>
    <w:rsid w:val="00327614"/>
    <w:rsid w:val="00327CD2"/>
    <w:rsid w:val="0033217E"/>
    <w:rsid w:val="0034085A"/>
    <w:rsid w:val="00340C74"/>
    <w:rsid w:val="00345D4D"/>
    <w:rsid w:val="003507EE"/>
    <w:rsid w:val="00350B0E"/>
    <w:rsid w:val="00353306"/>
    <w:rsid w:val="003549C9"/>
    <w:rsid w:val="0036596B"/>
    <w:rsid w:val="00366DC4"/>
    <w:rsid w:val="003708EF"/>
    <w:rsid w:val="00371AE5"/>
    <w:rsid w:val="0037287B"/>
    <w:rsid w:val="003729EA"/>
    <w:rsid w:val="00372C7E"/>
    <w:rsid w:val="00374485"/>
    <w:rsid w:val="00376C78"/>
    <w:rsid w:val="00377CA6"/>
    <w:rsid w:val="0038238A"/>
    <w:rsid w:val="003823F5"/>
    <w:rsid w:val="0038319A"/>
    <w:rsid w:val="00384A02"/>
    <w:rsid w:val="00385812"/>
    <w:rsid w:val="003860B5"/>
    <w:rsid w:val="00386186"/>
    <w:rsid w:val="00392F6D"/>
    <w:rsid w:val="00395995"/>
    <w:rsid w:val="00396D46"/>
    <w:rsid w:val="00397309"/>
    <w:rsid w:val="003A4C15"/>
    <w:rsid w:val="003B05C0"/>
    <w:rsid w:val="003B57A8"/>
    <w:rsid w:val="003C1C70"/>
    <w:rsid w:val="003C300F"/>
    <w:rsid w:val="003C31DC"/>
    <w:rsid w:val="003C4783"/>
    <w:rsid w:val="003C5303"/>
    <w:rsid w:val="003D0AF3"/>
    <w:rsid w:val="003D2006"/>
    <w:rsid w:val="003D3A04"/>
    <w:rsid w:val="003D6941"/>
    <w:rsid w:val="003D7D74"/>
    <w:rsid w:val="003D7F36"/>
    <w:rsid w:val="003E4976"/>
    <w:rsid w:val="003E6DBE"/>
    <w:rsid w:val="003E7CF6"/>
    <w:rsid w:val="003F201C"/>
    <w:rsid w:val="00401583"/>
    <w:rsid w:val="00402BB7"/>
    <w:rsid w:val="00403EB9"/>
    <w:rsid w:val="0040488B"/>
    <w:rsid w:val="00405C4A"/>
    <w:rsid w:val="00405D73"/>
    <w:rsid w:val="00413647"/>
    <w:rsid w:val="00425D7F"/>
    <w:rsid w:val="00426D41"/>
    <w:rsid w:val="00430831"/>
    <w:rsid w:val="004340DE"/>
    <w:rsid w:val="00437254"/>
    <w:rsid w:val="00437DF8"/>
    <w:rsid w:val="004453B1"/>
    <w:rsid w:val="0045221B"/>
    <w:rsid w:val="00455508"/>
    <w:rsid w:val="004561B6"/>
    <w:rsid w:val="00456BEB"/>
    <w:rsid w:val="00456E5A"/>
    <w:rsid w:val="00457A98"/>
    <w:rsid w:val="004630CE"/>
    <w:rsid w:val="004637DE"/>
    <w:rsid w:val="004645D4"/>
    <w:rsid w:val="00464ED8"/>
    <w:rsid w:val="00467641"/>
    <w:rsid w:val="00470AB8"/>
    <w:rsid w:val="00475695"/>
    <w:rsid w:val="0047606C"/>
    <w:rsid w:val="00476981"/>
    <w:rsid w:val="00476F95"/>
    <w:rsid w:val="004806D7"/>
    <w:rsid w:val="00481070"/>
    <w:rsid w:val="00481BBB"/>
    <w:rsid w:val="00485D14"/>
    <w:rsid w:val="004865BA"/>
    <w:rsid w:val="00495CAD"/>
    <w:rsid w:val="00496280"/>
    <w:rsid w:val="00497C57"/>
    <w:rsid w:val="004A22C0"/>
    <w:rsid w:val="004A3C23"/>
    <w:rsid w:val="004A63AE"/>
    <w:rsid w:val="004B1BBA"/>
    <w:rsid w:val="004B5D3E"/>
    <w:rsid w:val="004B5E73"/>
    <w:rsid w:val="004B739C"/>
    <w:rsid w:val="004C39CD"/>
    <w:rsid w:val="004C5438"/>
    <w:rsid w:val="004C75B8"/>
    <w:rsid w:val="004D1D07"/>
    <w:rsid w:val="004D2E0E"/>
    <w:rsid w:val="004D7E21"/>
    <w:rsid w:val="004E02BB"/>
    <w:rsid w:val="004E2B69"/>
    <w:rsid w:val="004E42B2"/>
    <w:rsid w:val="004E445E"/>
    <w:rsid w:val="004E6878"/>
    <w:rsid w:val="004E75D6"/>
    <w:rsid w:val="004F0462"/>
    <w:rsid w:val="004F347D"/>
    <w:rsid w:val="004F6DB9"/>
    <w:rsid w:val="004F7974"/>
    <w:rsid w:val="005013DF"/>
    <w:rsid w:val="0050208E"/>
    <w:rsid w:val="0050257F"/>
    <w:rsid w:val="00504B38"/>
    <w:rsid w:val="00505D3C"/>
    <w:rsid w:val="005070EB"/>
    <w:rsid w:val="00511BC4"/>
    <w:rsid w:val="00511C07"/>
    <w:rsid w:val="00512012"/>
    <w:rsid w:val="0051286D"/>
    <w:rsid w:val="00515230"/>
    <w:rsid w:val="00515C5D"/>
    <w:rsid w:val="005165E1"/>
    <w:rsid w:val="005177D5"/>
    <w:rsid w:val="00517D0F"/>
    <w:rsid w:val="00521B18"/>
    <w:rsid w:val="0052274A"/>
    <w:rsid w:val="00522B4A"/>
    <w:rsid w:val="00525762"/>
    <w:rsid w:val="0053178E"/>
    <w:rsid w:val="00534A75"/>
    <w:rsid w:val="005362E9"/>
    <w:rsid w:val="00540E8C"/>
    <w:rsid w:val="00541E6A"/>
    <w:rsid w:val="00543D85"/>
    <w:rsid w:val="00544A80"/>
    <w:rsid w:val="00544DCF"/>
    <w:rsid w:val="00545BF6"/>
    <w:rsid w:val="005463DB"/>
    <w:rsid w:val="00547274"/>
    <w:rsid w:val="00550428"/>
    <w:rsid w:val="0055440C"/>
    <w:rsid w:val="00555A68"/>
    <w:rsid w:val="00555D13"/>
    <w:rsid w:val="00556D19"/>
    <w:rsid w:val="00566D0C"/>
    <w:rsid w:val="0057007E"/>
    <w:rsid w:val="00572734"/>
    <w:rsid w:val="00573448"/>
    <w:rsid w:val="005751AF"/>
    <w:rsid w:val="005755F0"/>
    <w:rsid w:val="00576752"/>
    <w:rsid w:val="005779C1"/>
    <w:rsid w:val="0058317E"/>
    <w:rsid w:val="00590777"/>
    <w:rsid w:val="00591359"/>
    <w:rsid w:val="005939AA"/>
    <w:rsid w:val="00594940"/>
    <w:rsid w:val="005A00A6"/>
    <w:rsid w:val="005A6A41"/>
    <w:rsid w:val="005A6B6F"/>
    <w:rsid w:val="005A7BB3"/>
    <w:rsid w:val="005B1884"/>
    <w:rsid w:val="005B2534"/>
    <w:rsid w:val="005B3A1B"/>
    <w:rsid w:val="005B3C5E"/>
    <w:rsid w:val="005B3F4B"/>
    <w:rsid w:val="005B657D"/>
    <w:rsid w:val="005B6EC6"/>
    <w:rsid w:val="005B7A7B"/>
    <w:rsid w:val="005C025B"/>
    <w:rsid w:val="005C2EC1"/>
    <w:rsid w:val="005C32E3"/>
    <w:rsid w:val="005C6DF5"/>
    <w:rsid w:val="005D1DCE"/>
    <w:rsid w:val="005D1F8F"/>
    <w:rsid w:val="005D2D61"/>
    <w:rsid w:val="005D5D74"/>
    <w:rsid w:val="005E07B1"/>
    <w:rsid w:val="005E0D9C"/>
    <w:rsid w:val="005E6932"/>
    <w:rsid w:val="005F01A3"/>
    <w:rsid w:val="005F257C"/>
    <w:rsid w:val="005F7109"/>
    <w:rsid w:val="00601733"/>
    <w:rsid w:val="00603F53"/>
    <w:rsid w:val="00604EA2"/>
    <w:rsid w:val="00612DEB"/>
    <w:rsid w:val="006132F0"/>
    <w:rsid w:val="00617B1D"/>
    <w:rsid w:val="00620128"/>
    <w:rsid w:val="00620E85"/>
    <w:rsid w:val="00621132"/>
    <w:rsid w:val="00623CFC"/>
    <w:rsid w:val="006248C3"/>
    <w:rsid w:val="006345CA"/>
    <w:rsid w:val="00634D66"/>
    <w:rsid w:val="00636EB2"/>
    <w:rsid w:val="00637873"/>
    <w:rsid w:val="0064003B"/>
    <w:rsid w:val="0064191B"/>
    <w:rsid w:val="00642F14"/>
    <w:rsid w:val="00645DD7"/>
    <w:rsid w:val="00652069"/>
    <w:rsid w:val="006521F7"/>
    <w:rsid w:val="00655ECC"/>
    <w:rsid w:val="006563EC"/>
    <w:rsid w:val="0065793A"/>
    <w:rsid w:val="006606A7"/>
    <w:rsid w:val="006609C5"/>
    <w:rsid w:val="00661E0B"/>
    <w:rsid w:val="006625F9"/>
    <w:rsid w:val="00663627"/>
    <w:rsid w:val="00670104"/>
    <w:rsid w:val="00672889"/>
    <w:rsid w:val="00674505"/>
    <w:rsid w:val="00675BFD"/>
    <w:rsid w:val="00676079"/>
    <w:rsid w:val="00677D29"/>
    <w:rsid w:val="006805B9"/>
    <w:rsid w:val="00681FDF"/>
    <w:rsid w:val="00682FE8"/>
    <w:rsid w:val="006830EE"/>
    <w:rsid w:val="00683F56"/>
    <w:rsid w:val="00684E4A"/>
    <w:rsid w:val="006860E3"/>
    <w:rsid w:val="00687B35"/>
    <w:rsid w:val="00691069"/>
    <w:rsid w:val="00691C0F"/>
    <w:rsid w:val="006920B4"/>
    <w:rsid w:val="0069423A"/>
    <w:rsid w:val="006958E3"/>
    <w:rsid w:val="006978E2"/>
    <w:rsid w:val="006A5488"/>
    <w:rsid w:val="006A56B0"/>
    <w:rsid w:val="006A5F5B"/>
    <w:rsid w:val="006A63E4"/>
    <w:rsid w:val="006B1F7D"/>
    <w:rsid w:val="006B32D4"/>
    <w:rsid w:val="006B3CEE"/>
    <w:rsid w:val="006B4645"/>
    <w:rsid w:val="006B637C"/>
    <w:rsid w:val="006B6F02"/>
    <w:rsid w:val="006B76B9"/>
    <w:rsid w:val="006C0642"/>
    <w:rsid w:val="006C7050"/>
    <w:rsid w:val="006D19C6"/>
    <w:rsid w:val="006D2345"/>
    <w:rsid w:val="006D25DF"/>
    <w:rsid w:val="006D282D"/>
    <w:rsid w:val="006D2E0D"/>
    <w:rsid w:val="006D3EB4"/>
    <w:rsid w:val="006D651A"/>
    <w:rsid w:val="006D75E8"/>
    <w:rsid w:val="006E1A95"/>
    <w:rsid w:val="006E1FE8"/>
    <w:rsid w:val="006E427E"/>
    <w:rsid w:val="006E551D"/>
    <w:rsid w:val="006F1124"/>
    <w:rsid w:val="006F2567"/>
    <w:rsid w:val="006F39C2"/>
    <w:rsid w:val="006F65CE"/>
    <w:rsid w:val="006F6F9F"/>
    <w:rsid w:val="006F7DBB"/>
    <w:rsid w:val="00700091"/>
    <w:rsid w:val="00702586"/>
    <w:rsid w:val="007039CA"/>
    <w:rsid w:val="00703AFE"/>
    <w:rsid w:val="00711E80"/>
    <w:rsid w:val="00712F41"/>
    <w:rsid w:val="00713BB6"/>
    <w:rsid w:val="00713DD2"/>
    <w:rsid w:val="00721CD6"/>
    <w:rsid w:val="00722604"/>
    <w:rsid w:val="00726B76"/>
    <w:rsid w:val="00732A39"/>
    <w:rsid w:val="007335CB"/>
    <w:rsid w:val="00733A03"/>
    <w:rsid w:val="00734F84"/>
    <w:rsid w:val="00736766"/>
    <w:rsid w:val="0074117D"/>
    <w:rsid w:val="00742F4D"/>
    <w:rsid w:val="00743918"/>
    <w:rsid w:val="00744747"/>
    <w:rsid w:val="00747957"/>
    <w:rsid w:val="00747C7E"/>
    <w:rsid w:val="00750E62"/>
    <w:rsid w:val="00752A1E"/>
    <w:rsid w:val="007546D1"/>
    <w:rsid w:val="007605FA"/>
    <w:rsid w:val="007609F4"/>
    <w:rsid w:val="00760D30"/>
    <w:rsid w:val="0076121F"/>
    <w:rsid w:val="007621B1"/>
    <w:rsid w:val="00762E5A"/>
    <w:rsid w:val="00762F86"/>
    <w:rsid w:val="007646D1"/>
    <w:rsid w:val="00767903"/>
    <w:rsid w:val="00767BA8"/>
    <w:rsid w:val="0077450F"/>
    <w:rsid w:val="00774F1F"/>
    <w:rsid w:val="007756BA"/>
    <w:rsid w:val="00777BED"/>
    <w:rsid w:val="00781419"/>
    <w:rsid w:val="00787B91"/>
    <w:rsid w:val="007916BF"/>
    <w:rsid w:val="00792E26"/>
    <w:rsid w:val="00795795"/>
    <w:rsid w:val="00796655"/>
    <w:rsid w:val="007A18BE"/>
    <w:rsid w:val="007A198C"/>
    <w:rsid w:val="007A46B2"/>
    <w:rsid w:val="007B25D6"/>
    <w:rsid w:val="007B5DEF"/>
    <w:rsid w:val="007C16AC"/>
    <w:rsid w:val="007C2169"/>
    <w:rsid w:val="007C3594"/>
    <w:rsid w:val="007D0103"/>
    <w:rsid w:val="007D58CE"/>
    <w:rsid w:val="007D76DF"/>
    <w:rsid w:val="007E0674"/>
    <w:rsid w:val="007E0A0C"/>
    <w:rsid w:val="007E27EC"/>
    <w:rsid w:val="007E53B2"/>
    <w:rsid w:val="007E74FA"/>
    <w:rsid w:val="007F0463"/>
    <w:rsid w:val="007F0C68"/>
    <w:rsid w:val="007F2CFB"/>
    <w:rsid w:val="007F3885"/>
    <w:rsid w:val="007F3ED5"/>
    <w:rsid w:val="007F449E"/>
    <w:rsid w:val="007F6BD0"/>
    <w:rsid w:val="007F72D3"/>
    <w:rsid w:val="007F79E0"/>
    <w:rsid w:val="00804F95"/>
    <w:rsid w:val="00805185"/>
    <w:rsid w:val="00805245"/>
    <w:rsid w:val="00810F3E"/>
    <w:rsid w:val="0081321E"/>
    <w:rsid w:val="00813D8D"/>
    <w:rsid w:val="00814AB6"/>
    <w:rsid w:val="0081658C"/>
    <w:rsid w:val="008221FB"/>
    <w:rsid w:val="00825611"/>
    <w:rsid w:val="00825AB5"/>
    <w:rsid w:val="00834783"/>
    <w:rsid w:val="00836BE2"/>
    <w:rsid w:val="00840118"/>
    <w:rsid w:val="008408BC"/>
    <w:rsid w:val="00841A41"/>
    <w:rsid w:val="00843339"/>
    <w:rsid w:val="00845D6D"/>
    <w:rsid w:val="00845FBB"/>
    <w:rsid w:val="008464EF"/>
    <w:rsid w:val="00850114"/>
    <w:rsid w:val="008501AC"/>
    <w:rsid w:val="0085183B"/>
    <w:rsid w:val="008523F7"/>
    <w:rsid w:val="00855664"/>
    <w:rsid w:val="008602F5"/>
    <w:rsid w:val="0086614A"/>
    <w:rsid w:val="00872A1C"/>
    <w:rsid w:val="00875141"/>
    <w:rsid w:val="008762E8"/>
    <w:rsid w:val="00876E10"/>
    <w:rsid w:val="00881E45"/>
    <w:rsid w:val="00881EA2"/>
    <w:rsid w:val="00884153"/>
    <w:rsid w:val="00890FBB"/>
    <w:rsid w:val="0089197C"/>
    <w:rsid w:val="008A2DA5"/>
    <w:rsid w:val="008A7D58"/>
    <w:rsid w:val="008A7E1B"/>
    <w:rsid w:val="008B2229"/>
    <w:rsid w:val="008B69F1"/>
    <w:rsid w:val="008C1482"/>
    <w:rsid w:val="008C3125"/>
    <w:rsid w:val="008C3B56"/>
    <w:rsid w:val="008C3DCD"/>
    <w:rsid w:val="008C4D9D"/>
    <w:rsid w:val="008C4E15"/>
    <w:rsid w:val="008C5D62"/>
    <w:rsid w:val="008C6257"/>
    <w:rsid w:val="008D4BAA"/>
    <w:rsid w:val="008D55BA"/>
    <w:rsid w:val="008D5DB3"/>
    <w:rsid w:val="008E0F3F"/>
    <w:rsid w:val="008E3AC9"/>
    <w:rsid w:val="008E5898"/>
    <w:rsid w:val="008E71CE"/>
    <w:rsid w:val="008F232F"/>
    <w:rsid w:val="008F3E5F"/>
    <w:rsid w:val="008F69DB"/>
    <w:rsid w:val="00900EAF"/>
    <w:rsid w:val="009028FC"/>
    <w:rsid w:val="009052D1"/>
    <w:rsid w:val="009054E1"/>
    <w:rsid w:val="0091027D"/>
    <w:rsid w:val="00911646"/>
    <w:rsid w:val="00915F8C"/>
    <w:rsid w:val="00922805"/>
    <w:rsid w:val="00924D07"/>
    <w:rsid w:val="00927E38"/>
    <w:rsid w:val="00931FD9"/>
    <w:rsid w:val="00935596"/>
    <w:rsid w:val="009379D6"/>
    <w:rsid w:val="00937E38"/>
    <w:rsid w:val="009445A2"/>
    <w:rsid w:val="00945E87"/>
    <w:rsid w:val="00950985"/>
    <w:rsid w:val="00951492"/>
    <w:rsid w:val="00954022"/>
    <w:rsid w:val="00956629"/>
    <w:rsid w:val="00960079"/>
    <w:rsid w:val="00962D77"/>
    <w:rsid w:val="00964945"/>
    <w:rsid w:val="009658B7"/>
    <w:rsid w:val="009658BB"/>
    <w:rsid w:val="0097028A"/>
    <w:rsid w:val="009746CD"/>
    <w:rsid w:val="009778C6"/>
    <w:rsid w:val="009802B7"/>
    <w:rsid w:val="009859A9"/>
    <w:rsid w:val="009904EA"/>
    <w:rsid w:val="00995888"/>
    <w:rsid w:val="009A2824"/>
    <w:rsid w:val="009A3686"/>
    <w:rsid w:val="009A36A8"/>
    <w:rsid w:val="009A59CD"/>
    <w:rsid w:val="009A5F65"/>
    <w:rsid w:val="009A6706"/>
    <w:rsid w:val="009A798D"/>
    <w:rsid w:val="009B021D"/>
    <w:rsid w:val="009B072F"/>
    <w:rsid w:val="009B0928"/>
    <w:rsid w:val="009B0B82"/>
    <w:rsid w:val="009B14FD"/>
    <w:rsid w:val="009B18E3"/>
    <w:rsid w:val="009B24F6"/>
    <w:rsid w:val="009D1BF9"/>
    <w:rsid w:val="009D26EB"/>
    <w:rsid w:val="009D352B"/>
    <w:rsid w:val="009D3D49"/>
    <w:rsid w:val="009D6C2E"/>
    <w:rsid w:val="009E56BB"/>
    <w:rsid w:val="009E5B2E"/>
    <w:rsid w:val="009E6DCD"/>
    <w:rsid w:val="009F309B"/>
    <w:rsid w:val="009F45F3"/>
    <w:rsid w:val="009F4617"/>
    <w:rsid w:val="009F6E43"/>
    <w:rsid w:val="009F76F9"/>
    <w:rsid w:val="009F7A95"/>
    <w:rsid w:val="00A001BD"/>
    <w:rsid w:val="00A04EBA"/>
    <w:rsid w:val="00A060CC"/>
    <w:rsid w:val="00A10929"/>
    <w:rsid w:val="00A143E6"/>
    <w:rsid w:val="00A14B7F"/>
    <w:rsid w:val="00A15A9D"/>
    <w:rsid w:val="00A214A0"/>
    <w:rsid w:val="00A34E4F"/>
    <w:rsid w:val="00A358DB"/>
    <w:rsid w:val="00A35D26"/>
    <w:rsid w:val="00A369B4"/>
    <w:rsid w:val="00A417ED"/>
    <w:rsid w:val="00A500E0"/>
    <w:rsid w:val="00A521D7"/>
    <w:rsid w:val="00A52707"/>
    <w:rsid w:val="00A55CD6"/>
    <w:rsid w:val="00A60E1D"/>
    <w:rsid w:val="00A61A43"/>
    <w:rsid w:val="00A70F95"/>
    <w:rsid w:val="00A7219C"/>
    <w:rsid w:val="00A7244D"/>
    <w:rsid w:val="00A76DFA"/>
    <w:rsid w:val="00A80C57"/>
    <w:rsid w:val="00A842C5"/>
    <w:rsid w:val="00A84308"/>
    <w:rsid w:val="00A85D2D"/>
    <w:rsid w:val="00A903DF"/>
    <w:rsid w:val="00A907CC"/>
    <w:rsid w:val="00A90ADE"/>
    <w:rsid w:val="00A915ED"/>
    <w:rsid w:val="00A92AF4"/>
    <w:rsid w:val="00A9581F"/>
    <w:rsid w:val="00A959C6"/>
    <w:rsid w:val="00AA0A1F"/>
    <w:rsid w:val="00AA258A"/>
    <w:rsid w:val="00AA3CD5"/>
    <w:rsid w:val="00AA3E44"/>
    <w:rsid w:val="00AA52B4"/>
    <w:rsid w:val="00AA54A3"/>
    <w:rsid w:val="00AB0A16"/>
    <w:rsid w:val="00AB630D"/>
    <w:rsid w:val="00AB74E5"/>
    <w:rsid w:val="00AB7A9E"/>
    <w:rsid w:val="00AC0DA7"/>
    <w:rsid w:val="00AC20C3"/>
    <w:rsid w:val="00AC2390"/>
    <w:rsid w:val="00AC7568"/>
    <w:rsid w:val="00AC7B2C"/>
    <w:rsid w:val="00AD01F7"/>
    <w:rsid w:val="00AD16F0"/>
    <w:rsid w:val="00AD3046"/>
    <w:rsid w:val="00AD5291"/>
    <w:rsid w:val="00AE0631"/>
    <w:rsid w:val="00AE0DBB"/>
    <w:rsid w:val="00AE4477"/>
    <w:rsid w:val="00AE4CAA"/>
    <w:rsid w:val="00AE6741"/>
    <w:rsid w:val="00AE6F11"/>
    <w:rsid w:val="00AE7727"/>
    <w:rsid w:val="00AF34D3"/>
    <w:rsid w:val="00AF3C3D"/>
    <w:rsid w:val="00AF417B"/>
    <w:rsid w:val="00AF5ADA"/>
    <w:rsid w:val="00AF5F81"/>
    <w:rsid w:val="00AF691B"/>
    <w:rsid w:val="00AF7216"/>
    <w:rsid w:val="00AF74C5"/>
    <w:rsid w:val="00B01B51"/>
    <w:rsid w:val="00B053D3"/>
    <w:rsid w:val="00B0607D"/>
    <w:rsid w:val="00B0738E"/>
    <w:rsid w:val="00B07B53"/>
    <w:rsid w:val="00B1522C"/>
    <w:rsid w:val="00B2176F"/>
    <w:rsid w:val="00B238BD"/>
    <w:rsid w:val="00B23F28"/>
    <w:rsid w:val="00B265FF"/>
    <w:rsid w:val="00B32BAF"/>
    <w:rsid w:val="00B33CAF"/>
    <w:rsid w:val="00B33F60"/>
    <w:rsid w:val="00B34922"/>
    <w:rsid w:val="00B4220F"/>
    <w:rsid w:val="00B438C2"/>
    <w:rsid w:val="00B4753D"/>
    <w:rsid w:val="00B51945"/>
    <w:rsid w:val="00B52E3C"/>
    <w:rsid w:val="00B53A60"/>
    <w:rsid w:val="00B545D3"/>
    <w:rsid w:val="00B606F0"/>
    <w:rsid w:val="00B63EBA"/>
    <w:rsid w:val="00B65402"/>
    <w:rsid w:val="00B6785F"/>
    <w:rsid w:val="00B7063B"/>
    <w:rsid w:val="00B73919"/>
    <w:rsid w:val="00B761EC"/>
    <w:rsid w:val="00B76566"/>
    <w:rsid w:val="00B76818"/>
    <w:rsid w:val="00B77584"/>
    <w:rsid w:val="00B80195"/>
    <w:rsid w:val="00B82791"/>
    <w:rsid w:val="00B8435D"/>
    <w:rsid w:val="00B90091"/>
    <w:rsid w:val="00B90C03"/>
    <w:rsid w:val="00B91D23"/>
    <w:rsid w:val="00B924D2"/>
    <w:rsid w:val="00B926ED"/>
    <w:rsid w:val="00B96729"/>
    <w:rsid w:val="00B9736D"/>
    <w:rsid w:val="00BA06AF"/>
    <w:rsid w:val="00BA1A0C"/>
    <w:rsid w:val="00BA4838"/>
    <w:rsid w:val="00BA48B3"/>
    <w:rsid w:val="00BA4E59"/>
    <w:rsid w:val="00BA6C48"/>
    <w:rsid w:val="00BB14F2"/>
    <w:rsid w:val="00BB4832"/>
    <w:rsid w:val="00BB5B19"/>
    <w:rsid w:val="00BB603B"/>
    <w:rsid w:val="00BB76D7"/>
    <w:rsid w:val="00BB7FD4"/>
    <w:rsid w:val="00BC0FBE"/>
    <w:rsid w:val="00BC2595"/>
    <w:rsid w:val="00BC66F9"/>
    <w:rsid w:val="00BD710B"/>
    <w:rsid w:val="00BD7707"/>
    <w:rsid w:val="00BE581D"/>
    <w:rsid w:val="00BF2514"/>
    <w:rsid w:val="00BF668F"/>
    <w:rsid w:val="00BF72E4"/>
    <w:rsid w:val="00C0200E"/>
    <w:rsid w:val="00C053B5"/>
    <w:rsid w:val="00C07936"/>
    <w:rsid w:val="00C1258C"/>
    <w:rsid w:val="00C13865"/>
    <w:rsid w:val="00C15147"/>
    <w:rsid w:val="00C155E5"/>
    <w:rsid w:val="00C1707F"/>
    <w:rsid w:val="00C17FA9"/>
    <w:rsid w:val="00C223A3"/>
    <w:rsid w:val="00C238C4"/>
    <w:rsid w:val="00C26142"/>
    <w:rsid w:val="00C30D23"/>
    <w:rsid w:val="00C33364"/>
    <w:rsid w:val="00C340AB"/>
    <w:rsid w:val="00C36197"/>
    <w:rsid w:val="00C36868"/>
    <w:rsid w:val="00C37425"/>
    <w:rsid w:val="00C4094B"/>
    <w:rsid w:val="00C4293B"/>
    <w:rsid w:val="00C43E14"/>
    <w:rsid w:val="00C46196"/>
    <w:rsid w:val="00C47B8F"/>
    <w:rsid w:val="00C51EC8"/>
    <w:rsid w:val="00C5282B"/>
    <w:rsid w:val="00C5383E"/>
    <w:rsid w:val="00C53B03"/>
    <w:rsid w:val="00C53CE6"/>
    <w:rsid w:val="00C61D9F"/>
    <w:rsid w:val="00C61ED2"/>
    <w:rsid w:val="00C62E7A"/>
    <w:rsid w:val="00C632ED"/>
    <w:rsid w:val="00C6435B"/>
    <w:rsid w:val="00C669F7"/>
    <w:rsid w:val="00C7111C"/>
    <w:rsid w:val="00C72531"/>
    <w:rsid w:val="00C72E18"/>
    <w:rsid w:val="00C74CFE"/>
    <w:rsid w:val="00C76F0E"/>
    <w:rsid w:val="00C77CAE"/>
    <w:rsid w:val="00C81DF8"/>
    <w:rsid w:val="00C82C9B"/>
    <w:rsid w:val="00C920B9"/>
    <w:rsid w:val="00C9524A"/>
    <w:rsid w:val="00C953C2"/>
    <w:rsid w:val="00C9577A"/>
    <w:rsid w:val="00C96B8F"/>
    <w:rsid w:val="00C96E9F"/>
    <w:rsid w:val="00CA4EA4"/>
    <w:rsid w:val="00CA684C"/>
    <w:rsid w:val="00CA75F3"/>
    <w:rsid w:val="00CA7929"/>
    <w:rsid w:val="00CA7CB8"/>
    <w:rsid w:val="00CB43F8"/>
    <w:rsid w:val="00CB610D"/>
    <w:rsid w:val="00CB6306"/>
    <w:rsid w:val="00CB6AD0"/>
    <w:rsid w:val="00CC3704"/>
    <w:rsid w:val="00CC5AB5"/>
    <w:rsid w:val="00CC627C"/>
    <w:rsid w:val="00CD035F"/>
    <w:rsid w:val="00CD0470"/>
    <w:rsid w:val="00CD1502"/>
    <w:rsid w:val="00CD1D67"/>
    <w:rsid w:val="00CD2E27"/>
    <w:rsid w:val="00CD7FFC"/>
    <w:rsid w:val="00CE0EEB"/>
    <w:rsid w:val="00CE0F31"/>
    <w:rsid w:val="00CE5047"/>
    <w:rsid w:val="00CE50DD"/>
    <w:rsid w:val="00CE5E76"/>
    <w:rsid w:val="00CE6EF7"/>
    <w:rsid w:val="00CE7EEB"/>
    <w:rsid w:val="00CF055E"/>
    <w:rsid w:val="00CF0B9B"/>
    <w:rsid w:val="00CF0D66"/>
    <w:rsid w:val="00CF3D2D"/>
    <w:rsid w:val="00CF4A8F"/>
    <w:rsid w:val="00CF7972"/>
    <w:rsid w:val="00CF7B5A"/>
    <w:rsid w:val="00D001F6"/>
    <w:rsid w:val="00D012C1"/>
    <w:rsid w:val="00D05CCD"/>
    <w:rsid w:val="00D06E38"/>
    <w:rsid w:val="00D119B9"/>
    <w:rsid w:val="00D11A56"/>
    <w:rsid w:val="00D11EC9"/>
    <w:rsid w:val="00D13490"/>
    <w:rsid w:val="00D13A6B"/>
    <w:rsid w:val="00D13EAA"/>
    <w:rsid w:val="00D14D60"/>
    <w:rsid w:val="00D16BA4"/>
    <w:rsid w:val="00D178FA"/>
    <w:rsid w:val="00D20574"/>
    <w:rsid w:val="00D27041"/>
    <w:rsid w:val="00D335B4"/>
    <w:rsid w:val="00D43AA6"/>
    <w:rsid w:val="00D43D97"/>
    <w:rsid w:val="00D460E2"/>
    <w:rsid w:val="00D472D5"/>
    <w:rsid w:val="00D51E47"/>
    <w:rsid w:val="00D52CD0"/>
    <w:rsid w:val="00D57D21"/>
    <w:rsid w:val="00D61F1A"/>
    <w:rsid w:val="00D62E0D"/>
    <w:rsid w:val="00D6477C"/>
    <w:rsid w:val="00D65C79"/>
    <w:rsid w:val="00D70A2B"/>
    <w:rsid w:val="00D714C8"/>
    <w:rsid w:val="00D760B9"/>
    <w:rsid w:val="00D80862"/>
    <w:rsid w:val="00D81782"/>
    <w:rsid w:val="00D82BF3"/>
    <w:rsid w:val="00D931B5"/>
    <w:rsid w:val="00D975AB"/>
    <w:rsid w:val="00DA1772"/>
    <w:rsid w:val="00DA1C7C"/>
    <w:rsid w:val="00DA3552"/>
    <w:rsid w:val="00DA583C"/>
    <w:rsid w:val="00DB25C3"/>
    <w:rsid w:val="00DB3E68"/>
    <w:rsid w:val="00DB3EF7"/>
    <w:rsid w:val="00DB5260"/>
    <w:rsid w:val="00DB5C9E"/>
    <w:rsid w:val="00DC0EE9"/>
    <w:rsid w:val="00DC3C2B"/>
    <w:rsid w:val="00DC62EF"/>
    <w:rsid w:val="00DC720E"/>
    <w:rsid w:val="00DD57EF"/>
    <w:rsid w:val="00DD6BFA"/>
    <w:rsid w:val="00DE08A0"/>
    <w:rsid w:val="00DE506C"/>
    <w:rsid w:val="00DE6646"/>
    <w:rsid w:val="00DE7519"/>
    <w:rsid w:val="00DE7DA9"/>
    <w:rsid w:val="00DE7ED5"/>
    <w:rsid w:val="00DF0BC3"/>
    <w:rsid w:val="00DF327A"/>
    <w:rsid w:val="00DF7976"/>
    <w:rsid w:val="00E02EEB"/>
    <w:rsid w:val="00E06CDD"/>
    <w:rsid w:val="00E102FF"/>
    <w:rsid w:val="00E11580"/>
    <w:rsid w:val="00E208F5"/>
    <w:rsid w:val="00E221E9"/>
    <w:rsid w:val="00E22DE3"/>
    <w:rsid w:val="00E2607E"/>
    <w:rsid w:val="00E267A8"/>
    <w:rsid w:val="00E271DE"/>
    <w:rsid w:val="00E27A22"/>
    <w:rsid w:val="00E27C32"/>
    <w:rsid w:val="00E42B7D"/>
    <w:rsid w:val="00E42CD6"/>
    <w:rsid w:val="00E43137"/>
    <w:rsid w:val="00E46324"/>
    <w:rsid w:val="00E51A48"/>
    <w:rsid w:val="00E51D3B"/>
    <w:rsid w:val="00E52F26"/>
    <w:rsid w:val="00E537C3"/>
    <w:rsid w:val="00E53C0A"/>
    <w:rsid w:val="00E61C11"/>
    <w:rsid w:val="00E64797"/>
    <w:rsid w:val="00E64A8C"/>
    <w:rsid w:val="00E67B9E"/>
    <w:rsid w:val="00E721DC"/>
    <w:rsid w:val="00E74CA5"/>
    <w:rsid w:val="00E74D40"/>
    <w:rsid w:val="00E756DE"/>
    <w:rsid w:val="00E77C26"/>
    <w:rsid w:val="00E80A58"/>
    <w:rsid w:val="00E81C1C"/>
    <w:rsid w:val="00E86C30"/>
    <w:rsid w:val="00E8700F"/>
    <w:rsid w:val="00E912A0"/>
    <w:rsid w:val="00E934B7"/>
    <w:rsid w:val="00E96DD7"/>
    <w:rsid w:val="00EA1220"/>
    <w:rsid w:val="00EA1457"/>
    <w:rsid w:val="00EA1B50"/>
    <w:rsid w:val="00EA1F75"/>
    <w:rsid w:val="00EA40E0"/>
    <w:rsid w:val="00EA4A58"/>
    <w:rsid w:val="00EA5824"/>
    <w:rsid w:val="00EB3493"/>
    <w:rsid w:val="00EB63C2"/>
    <w:rsid w:val="00EB6CC2"/>
    <w:rsid w:val="00EB7E0C"/>
    <w:rsid w:val="00EC1CEB"/>
    <w:rsid w:val="00EC46FE"/>
    <w:rsid w:val="00EC53EB"/>
    <w:rsid w:val="00ED04F6"/>
    <w:rsid w:val="00ED1C30"/>
    <w:rsid w:val="00ED32AC"/>
    <w:rsid w:val="00ED4D38"/>
    <w:rsid w:val="00ED5E93"/>
    <w:rsid w:val="00ED6D2A"/>
    <w:rsid w:val="00EE13FD"/>
    <w:rsid w:val="00EE6DE2"/>
    <w:rsid w:val="00EE7672"/>
    <w:rsid w:val="00EF4293"/>
    <w:rsid w:val="00EF4981"/>
    <w:rsid w:val="00EF5E9A"/>
    <w:rsid w:val="00F07A70"/>
    <w:rsid w:val="00F07BCD"/>
    <w:rsid w:val="00F12587"/>
    <w:rsid w:val="00F15EAF"/>
    <w:rsid w:val="00F16DBD"/>
    <w:rsid w:val="00F2567D"/>
    <w:rsid w:val="00F25E91"/>
    <w:rsid w:val="00F266EA"/>
    <w:rsid w:val="00F268AC"/>
    <w:rsid w:val="00F31A62"/>
    <w:rsid w:val="00F32379"/>
    <w:rsid w:val="00F33759"/>
    <w:rsid w:val="00F36BD6"/>
    <w:rsid w:val="00F45A07"/>
    <w:rsid w:val="00F47EF9"/>
    <w:rsid w:val="00F509D8"/>
    <w:rsid w:val="00F52E44"/>
    <w:rsid w:val="00F56DEA"/>
    <w:rsid w:val="00F63A2E"/>
    <w:rsid w:val="00F640D1"/>
    <w:rsid w:val="00F660E1"/>
    <w:rsid w:val="00F66CB1"/>
    <w:rsid w:val="00F67DD7"/>
    <w:rsid w:val="00F703C6"/>
    <w:rsid w:val="00F72627"/>
    <w:rsid w:val="00F72835"/>
    <w:rsid w:val="00F75336"/>
    <w:rsid w:val="00F75699"/>
    <w:rsid w:val="00F8006F"/>
    <w:rsid w:val="00F825EF"/>
    <w:rsid w:val="00F8277D"/>
    <w:rsid w:val="00F828D3"/>
    <w:rsid w:val="00F82E03"/>
    <w:rsid w:val="00F83C4A"/>
    <w:rsid w:val="00F9337E"/>
    <w:rsid w:val="00F97B47"/>
    <w:rsid w:val="00FA0D1E"/>
    <w:rsid w:val="00FA1A47"/>
    <w:rsid w:val="00FA54CD"/>
    <w:rsid w:val="00FA646B"/>
    <w:rsid w:val="00FB0088"/>
    <w:rsid w:val="00FB193A"/>
    <w:rsid w:val="00FB5760"/>
    <w:rsid w:val="00FB75D9"/>
    <w:rsid w:val="00FC12E5"/>
    <w:rsid w:val="00FC15F5"/>
    <w:rsid w:val="00FC1CBB"/>
    <w:rsid w:val="00FC4547"/>
    <w:rsid w:val="00FC48B0"/>
    <w:rsid w:val="00FC5900"/>
    <w:rsid w:val="00FC6FC5"/>
    <w:rsid w:val="00FD01A1"/>
    <w:rsid w:val="00FD022C"/>
    <w:rsid w:val="00FD1339"/>
    <w:rsid w:val="00FD2FDD"/>
    <w:rsid w:val="00FD440C"/>
    <w:rsid w:val="00FD4A62"/>
    <w:rsid w:val="00FD5B49"/>
    <w:rsid w:val="00FD7D13"/>
    <w:rsid w:val="00FE2EFA"/>
    <w:rsid w:val="00FE4277"/>
    <w:rsid w:val="00FE73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C841"/>
  <w15:chartTrackingRefBased/>
  <w15:docId w15:val="{E16D1FC6-B4BC-4726-8DBA-57B1075F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
    <w:basedOn w:val="Normal"/>
    <w:link w:val="ListParagraphChar"/>
    <w:uiPriority w:val="34"/>
    <w:qFormat/>
    <w:rsid w:val="00456BEB"/>
    <w:pPr>
      <w:ind w:left="720"/>
      <w:contextualSpacing/>
    </w:pPr>
  </w:style>
  <w:style w:type="character" w:styleId="Hyperlink">
    <w:name w:val="Hyperlink"/>
    <w:basedOn w:val="DefaultParagraphFont"/>
    <w:uiPriority w:val="99"/>
    <w:unhideWhenUsed/>
    <w:rsid w:val="000A2E75"/>
    <w:rPr>
      <w:color w:val="0563C1" w:themeColor="hyperlink"/>
      <w:u w:val="single"/>
    </w:rPr>
  </w:style>
  <w:style w:type="character" w:styleId="HTMLCite">
    <w:name w:val="HTML Cite"/>
    <w:basedOn w:val="DefaultParagraphFont"/>
    <w:uiPriority w:val="99"/>
    <w:semiHidden/>
    <w:unhideWhenUsed/>
    <w:rsid w:val="003B57A8"/>
    <w:rPr>
      <w:i/>
      <w:iCs/>
    </w:rPr>
  </w:style>
  <w:style w:type="character" w:styleId="CommentReference">
    <w:name w:val="annotation reference"/>
    <w:basedOn w:val="DefaultParagraphFont"/>
    <w:uiPriority w:val="99"/>
    <w:semiHidden/>
    <w:unhideWhenUsed/>
    <w:rsid w:val="006625F9"/>
    <w:rPr>
      <w:sz w:val="16"/>
      <w:szCs w:val="16"/>
    </w:rPr>
  </w:style>
  <w:style w:type="paragraph" w:styleId="CommentText">
    <w:name w:val="annotation text"/>
    <w:basedOn w:val="Normal"/>
    <w:link w:val="CommentTextChar"/>
    <w:uiPriority w:val="99"/>
    <w:unhideWhenUsed/>
    <w:rsid w:val="006625F9"/>
    <w:pPr>
      <w:spacing w:line="240" w:lineRule="auto"/>
    </w:pPr>
    <w:rPr>
      <w:sz w:val="20"/>
      <w:szCs w:val="20"/>
    </w:rPr>
  </w:style>
  <w:style w:type="character" w:customStyle="1" w:styleId="CommentTextChar">
    <w:name w:val="Comment Text Char"/>
    <w:basedOn w:val="DefaultParagraphFont"/>
    <w:link w:val="CommentText"/>
    <w:uiPriority w:val="99"/>
    <w:rsid w:val="006625F9"/>
    <w:rPr>
      <w:sz w:val="20"/>
      <w:szCs w:val="20"/>
    </w:rPr>
  </w:style>
  <w:style w:type="paragraph" w:styleId="CommentSubject">
    <w:name w:val="annotation subject"/>
    <w:basedOn w:val="CommentText"/>
    <w:next w:val="CommentText"/>
    <w:link w:val="CommentSubjectChar"/>
    <w:uiPriority w:val="99"/>
    <w:semiHidden/>
    <w:unhideWhenUsed/>
    <w:rsid w:val="006625F9"/>
    <w:rPr>
      <w:b/>
      <w:bCs/>
    </w:rPr>
  </w:style>
  <w:style w:type="character" w:customStyle="1" w:styleId="CommentSubjectChar">
    <w:name w:val="Comment Subject Char"/>
    <w:basedOn w:val="CommentTextChar"/>
    <w:link w:val="CommentSubject"/>
    <w:uiPriority w:val="99"/>
    <w:semiHidden/>
    <w:rsid w:val="006625F9"/>
    <w:rPr>
      <w:b/>
      <w:bCs/>
      <w:sz w:val="20"/>
      <w:szCs w:val="20"/>
    </w:rPr>
  </w:style>
  <w:style w:type="paragraph" w:styleId="BalloonText">
    <w:name w:val="Balloon Text"/>
    <w:basedOn w:val="Normal"/>
    <w:link w:val="BalloonTextChar"/>
    <w:uiPriority w:val="99"/>
    <w:semiHidden/>
    <w:unhideWhenUsed/>
    <w:rsid w:val="00662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F9"/>
    <w:rPr>
      <w:rFonts w:ascii="Segoe UI" w:hAnsi="Segoe UI" w:cs="Segoe UI"/>
      <w:sz w:val="18"/>
      <w:szCs w:val="18"/>
    </w:rPr>
  </w:style>
  <w:style w:type="paragraph" w:styleId="Header">
    <w:name w:val="header"/>
    <w:basedOn w:val="Normal"/>
    <w:link w:val="HeaderChar"/>
    <w:uiPriority w:val="99"/>
    <w:unhideWhenUsed/>
    <w:rsid w:val="00ED0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F6"/>
  </w:style>
  <w:style w:type="paragraph" w:styleId="Footer">
    <w:name w:val="footer"/>
    <w:basedOn w:val="Normal"/>
    <w:link w:val="FooterChar"/>
    <w:uiPriority w:val="99"/>
    <w:unhideWhenUsed/>
    <w:rsid w:val="00ED0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F6"/>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E96DD7"/>
  </w:style>
  <w:style w:type="paragraph" w:customStyle="1" w:styleId="Default">
    <w:name w:val="Default"/>
    <w:rsid w:val="003D694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43D97"/>
    <w:rPr>
      <w:color w:val="954F72" w:themeColor="followedHyperlink"/>
      <w:u w:val="single"/>
    </w:rPr>
  </w:style>
  <w:style w:type="paragraph" w:customStyle="1" w:styleId="subsection">
    <w:name w:val="subsection"/>
    <w:basedOn w:val="Normal"/>
    <w:rsid w:val="00BA483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tionlabel">
    <w:name w:val="sectionlabel"/>
    <w:basedOn w:val="DefaultParagraphFont"/>
    <w:rsid w:val="00BA4838"/>
  </w:style>
  <w:style w:type="character" w:customStyle="1" w:styleId="lawlabel">
    <w:name w:val="lawlabel"/>
    <w:basedOn w:val="DefaultParagraphFont"/>
    <w:rsid w:val="00BA4838"/>
  </w:style>
  <w:style w:type="character" w:customStyle="1" w:styleId="wb-invisible">
    <w:name w:val="wb-invisible"/>
    <w:basedOn w:val="DefaultParagraphFont"/>
    <w:rsid w:val="00BB7FD4"/>
  </w:style>
  <w:style w:type="paragraph" w:customStyle="1" w:styleId="paragraph">
    <w:name w:val="paragraph"/>
    <w:basedOn w:val="Normal"/>
    <w:rsid w:val="00BB7FD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otherlang">
    <w:name w:val="otherlang"/>
    <w:basedOn w:val="DefaultParagraphFont"/>
    <w:rsid w:val="00BB7FD4"/>
  </w:style>
  <w:style w:type="paragraph" w:customStyle="1" w:styleId="section">
    <w:name w:val="section"/>
    <w:basedOn w:val="Normal"/>
    <w:rsid w:val="00A958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otnote">
    <w:name w:val="footnote"/>
    <w:basedOn w:val="Normal"/>
    <w:rsid w:val="00A958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marginalnote">
    <w:name w:val="marginalnote"/>
    <w:basedOn w:val="Normal"/>
    <w:rsid w:val="002226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paragraph">
    <w:name w:val="subparagraph"/>
    <w:basedOn w:val="Normal"/>
    <w:rsid w:val="002226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inition">
    <w:name w:val="definition"/>
    <w:basedOn w:val="Normal"/>
    <w:rsid w:val="00E27C3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D178FA"/>
    <w:pPr>
      <w:spacing w:after="0" w:line="240" w:lineRule="auto"/>
    </w:pPr>
  </w:style>
  <w:style w:type="character" w:customStyle="1" w:styleId="UnresolvedMention1">
    <w:name w:val="Unresolved Mention1"/>
    <w:basedOn w:val="DefaultParagraphFont"/>
    <w:uiPriority w:val="99"/>
    <w:semiHidden/>
    <w:unhideWhenUsed/>
    <w:rsid w:val="00E4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9937">
      <w:bodyDiv w:val="1"/>
      <w:marLeft w:val="0"/>
      <w:marRight w:val="0"/>
      <w:marTop w:val="0"/>
      <w:marBottom w:val="0"/>
      <w:divBdr>
        <w:top w:val="none" w:sz="0" w:space="0" w:color="auto"/>
        <w:left w:val="none" w:sz="0" w:space="0" w:color="auto"/>
        <w:bottom w:val="none" w:sz="0" w:space="0" w:color="auto"/>
        <w:right w:val="none" w:sz="0" w:space="0" w:color="auto"/>
      </w:divBdr>
    </w:div>
    <w:div w:id="423918205">
      <w:bodyDiv w:val="1"/>
      <w:marLeft w:val="0"/>
      <w:marRight w:val="0"/>
      <w:marTop w:val="0"/>
      <w:marBottom w:val="0"/>
      <w:divBdr>
        <w:top w:val="none" w:sz="0" w:space="0" w:color="auto"/>
        <w:left w:val="none" w:sz="0" w:space="0" w:color="auto"/>
        <w:bottom w:val="none" w:sz="0" w:space="0" w:color="auto"/>
        <w:right w:val="none" w:sz="0" w:space="0" w:color="auto"/>
      </w:divBdr>
    </w:div>
    <w:div w:id="441345167">
      <w:bodyDiv w:val="1"/>
      <w:marLeft w:val="0"/>
      <w:marRight w:val="0"/>
      <w:marTop w:val="0"/>
      <w:marBottom w:val="0"/>
      <w:divBdr>
        <w:top w:val="none" w:sz="0" w:space="0" w:color="auto"/>
        <w:left w:val="none" w:sz="0" w:space="0" w:color="auto"/>
        <w:bottom w:val="none" w:sz="0" w:space="0" w:color="auto"/>
        <w:right w:val="none" w:sz="0" w:space="0" w:color="auto"/>
      </w:divBdr>
    </w:div>
    <w:div w:id="495731322">
      <w:bodyDiv w:val="1"/>
      <w:marLeft w:val="0"/>
      <w:marRight w:val="0"/>
      <w:marTop w:val="0"/>
      <w:marBottom w:val="0"/>
      <w:divBdr>
        <w:top w:val="none" w:sz="0" w:space="0" w:color="auto"/>
        <w:left w:val="none" w:sz="0" w:space="0" w:color="auto"/>
        <w:bottom w:val="none" w:sz="0" w:space="0" w:color="auto"/>
        <w:right w:val="none" w:sz="0" w:space="0" w:color="auto"/>
      </w:divBdr>
    </w:div>
    <w:div w:id="610741032">
      <w:bodyDiv w:val="1"/>
      <w:marLeft w:val="0"/>
      <w:marRight w:val="0"/>
      <w:marTop w:val="0"/>
      <w:marBottom w:val="0"/>
      <w:divBdr>
        <w:top w:val="none" w:sz="0" w:space="0" w:color="auto"/>
        <w:left w:val="none" w:sz="0" w:space="0" w:color="auto"/>
        <w:bottom w:val="none" w:sz="0" w:space="0" w:color="auto"/>
        <w:right w:val="none" w:sz="0" w:space="0" w:color="auto"/>
      </w:divBdr>
    </w:div>
    <w:div w:id="623274067">
      <w:bodyDiv w:val="1"/>
      <w:marLeft w:val="0"/>
      <w:marRight w:val="0"/>
      <w:marTop w:val="0"/>
      <w:marBottom w:val="0"/>
      <w:divBdr>
        <w:top w:val="none" w:sz="0" w:space="0" w:color="auto"/>
        <w:left w:val="none" w:sz="0" w:space="0" w:color="auto"/>
        <w:bottom w:val="none" w:sz="0" w:space="0" w:color="auto"/>
        <w:right w:val="none" w:sz="0" w:space="0" w:color="auto"/>
      </w:divBdr>
    </w:div>
    <w:div w:id="869030876">
      <w:bodyDiv w:val="1"/>
      <w:marLeft w:val="0"/>
      <w:marRight w:val="0"/>
      <w:marTop w:val="0"/>
      <w:marBottom w:val="0"/>
      <w:divBdr>
        <w:top w:val="none" w:sz="0" w:space="0" w:color="auto"/>
        <w:left w:val="none" w:sz="0" w:space="0" w:color="auto"/>
        <w:bottom w:val="none" w:sz="0" w:space="0" w:color="auto"/>
        <w:right w:val="none" w:sz="0" w:space="0" w:color="auto"/>
      </w:divBdr>
    </w:div>
    <w:div w:id="938564163">
      <w:bodyDiv w:val="1"/>
      <w:marLeft w:val="0"/>
      <w:marRight w:val="0"/>
      <w:marTop w:val="0"/>
      <w:marBottom w:val="0"/>
      <w:divBdr>
        <w:top w:val="none" w:sz="0" w:space="0" w:color="auto"/>
        <w:left w:val="none" w:sz="0" w:space="0" w:color="auto"/>
        <w:bottom w:val="none" w:sz="0" w:space="0" w:color="auto"/>
        <w:right w:val="none" w:sz="0" w:space="0" w:color="auto"/>
      </w:divBdr>
    </w:div>
    <w:div w:id="1023821827">
      <w:bodyDiv w:val="1"/>
      <w:marLeft w:val="0"/>
      <w:marRight w:val="0"/>
      <w:marTop w:val="0"/>
      <w:marBottom w:val="0"/>
      <w:divBdr>
        <w:top w:val="none" w:sz="0" w:space="0" w:color="auto"/>
        <w:left w:val="none" w:sz="0" w:space="0" w:color="auto"/>
        <w:bottom w:val="none" w:sz="0" w:space="0" w:color="auto"/>
        <w:right w:val="none" w:sz="0" w:space="0" w:color="auto"/>
      </w:divBdr>
    </w:div>
    <w:div w:id="1063605139">
      <w:bodyDiv w:val="1"/>
      <w:marLeft w:val="0"/>
      <w:marRight w:val="0"/>
      <w:marTop w:val="0"/>
      <w:marBottom w:val="0"/>
      <w:divBdr>
        <w:top w:val="none" w:sz="0" w:space="0" w:color="auto"/>
        <w:left w:val="none" w:sz="0" w:space="0" w:color="auto"/>
        <w:bottom w:val="none" w:sz="0" w:space="0" w:color="auto"/>
        <w:right w:val="none" w:sz="0" w:space="0" w:color="auto"/>
      </w:divBdr>
    </w:div>
    <w:div w:id="1095978922">
      <w:bodyDiv w:val="1"/>
      <w:marLeft w:val="0"/>
      <w:marRight w:val="0"/>
      <w:marTop w:val="0"/>
      <w:marBottom w:val="0"/>
      <w:divBdr>
        <w:top w:val="none" w:sz="0" w:space="0" w:color="auto"/>
        <w:left w:val="none" w:sz="0" w:space="0" w:color="auto"/>
        <w:bottom w:val="none" w:sz="0" w:space="0" w:color="auto"/>
        <w:right w:val="none" w:sz="0" w:space="0" w:color="auto"/>
      </w:divBdr>
    </w:div>
    <w:div w:id="1246259942">
      <w:bodyDiv w:val="1"/>
      <w:marLeft w:val="0"/>
      <w:marRight w:val="0"/>
      <w:marTop w:val="0"/>
      <w:marBottom w:val="0"/>
      <w:divBdr>
        <w:top w:val="none" w:sz="0" w:space="0" w:color="auto"/>
        <w:left w:val="none" w:sz="0" w:space="0" w:color="auto"/>
        <w:bottom w:val="none" w:sz="0" w:space="0" w:color="auto"/>
        <w:right w:val="none" w:sz="0" w:space="0" w:color="auto"/>
      </w:divBdr>
    </w:div>
    <w:div w:id="1446581912">
      <w:bodyDiv w:val="1"/>
      <w:marLeft w:val="0"/>
      <w:marRight w:val="0"/>
      <w:marTop w:val="0"/>
      <w:marBottom w:val="0"/>
      <w:divBdr>
        <w:top w:val="none" w:sz="0" w:space="0" w:color="auto"/>
        <w:left w:val="none" w:sz="0" w:space="0" w:color="auto"/>
        <w:bottom w:val="none" w:sz="0" w:space="0" w:color="auto"/>
        <w:right w:val="none" w:sz="0" w:space="0" w:color="auto"/>
      </w:divBdr>
    </w:div>
    <w:div w:id="1470441321">
      <w:bodyDiv w:val="1"/>
      <w:marLeft w:val="0"/>
      <w:marRight w:val="0"/>
      <w:marTop w:val="0"/>
      <w:marBottom w:val="0"/>
      <w:divBdr>
        <w:top w:val="none" w:sz="0" w:space="0" w:color="auto"/>
        <w:left w:val="none" w:sz="0" w:space="0" w:color="auto"/>
        <w:bottom w:val="none" w:sz="0" w:space="0" w:color="auto"/>
        <w:right w:val="none" w:sz="0" w:space="0" w:color="auto"/>
      </w:divBdr>
    </w:div>
    <w:div w:id="2056078373">
      <w:bodyDiv w:val="1"/>
      <w:marLeft w:val="0"/>
      <w:marRight w:val="0"/>
      <w:marTop w:val="0"/>
      <w:marBottom w:val="0"/>
      <w:divBdr>
        <w:top w:val="none" w:sz="0" w:space="0" w:color="auto"/>
        <w:left w:val="none" w:sz="0" w:space="0" w:color="auto"/>
        <w:bottom w:val="none" w:sz="0" w:space="0" w:color="auto"/>
        <w:right w:val="none" w:sz="0" w:space="0" w:color="auto"/>
      </w:divBdr>
    </w:div>
    <w:div w:id="2103452135">
      <w:bodyDiv w:val="1"/>
      <w:marLeft w:val="0"/>
      <w:marRight w:val="0"/>
      <w:marTop w:val="0"/>
      <w:marBottom w:val="0"/>
      <w:divBdr>
        <w:top w:val="none" w:sz="0" w:space="0" w:color="auto"/>
        <w:left w:val="none" w:sz="0" w:space="0" w:color="auto"/>
        <w:bottom w:val="none" w:sz="0" w:space="0" w:color="auto"/>
        <w:right w:val="none" w:sz="0" w:space="0" w:color="auto"/>
      </w:divBdr>
      <w:divsChild>
        <w:div w:id="145386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096F-DCB5-42EE-9BB3-41D865222A0F}">
  <ds:schemaRefs>
    <ds:schemaRef ds:uri="http://schemas.openxmlformats.org/officeDocument/2006/bibliography"/>
  </ds:schemaRefs>
</ds:datastoreItem>
</file>

<file path=docMetadata/LabelInfo.xml><?xml version="1.0" encoding="utf-8"?>
<clbl:labelList xmlns:clbl="http://schemas.microsoft.com/office/2020/mipLabelMetadata">
  <clbl:label id="{219619fd-75dc-48cb-820d-8f683a95dd8b}" enabled="1" method="Privileged" siteId="{05c95b33-90ca-49d5-b644-288b930b912b}"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10265</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NRCan  /  RNCan</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Katherine</dc:creator>
  <cp:keywords/>
  <dc:description/>
  <cp:lastModifiedBy>Archer, Susan</cp:lastModifiedBy>
  <cp:revision>2</cp:revision>
  <dcterms:created xsi:type="dcterms:W3CDTF">2023-09-07T13:28:00Z</dcterms:created>
  <dcterms:modified xsi:type="dcterms:W3CDTF">2023-09-07T13:28:00Z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ies>
</file>